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header.xml" ContentType="application/vnd.openxmlformats-officedocument.wordprocessingml.header+xml"/>
  <Override PartName="/word/footer.xml" ContentType="application/vnd.openxmlformats-officedocument.wordprocessingml.footer+xml"/>
  <Override PartName="/word/tasks.xml" ContentType="application/vnd.ms-office.documenttasks+xml"/>
  <Override PartName="/word/header2.xml" ContentType="application/vnd.openxmlformats-officedocument.wordprocessingml.header+xml"/>
  <Override PartName="/word/footer2.xml" ContentType="application/vnd.openxmlformats-officedocument.wordprocessingml.footer+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223607" w:rsidR="00F33CEC" w:rsidP="3828EF9E" w:rsidRDefault="00F33CEC" w14:paraId="5DFA91A9" w14:textId="6865E671">
      <w:pPr>
        <w:spacing w:after="0" w:line="240" w:lineRule="auto"/>
        <w:jc w:val="both"/>
        <w:rPr>
          <w:b w:val="1"/>
          <w:bCs w:val="1"/>
          <w:sz w:val="28"/>
          <w:szCs w:val="28"/>
        </w:rPr>
      </w:pPr>
      <w:r w:rsidRPr="3828EF9E" w:rsidR="00F33CEC">
        <w:rPr>
          <w:b w:val="1"/>
          <w:bCs w:val="1"/>
          <w:sz w:val="28"/>
          <w:szCs w:val="28"/>
        </w:rPr>
        <w:t xml:space="preserve">PUBLIC NOTICE </w:t>
      </w:r>
    </w:p>
    <w:p w:rsidRPr="00223607" w:rsidR="00C57F6C" w:rsidP="00C57F6C" w:rsidRDefault="00C57F6C" w14:paraId="00C55130" w14:textId="77777777">
      <w:pPr>
        <w:spacing w:after="0" w:line="240" w:lineRule="auto"/>
        <w:jc w:val="both"/>
        <w:rPr>
          <w:b/>
          <w:bCs/>
          <w:sz w:val="20"/>
          <w:szCs w:val="20"/>
        </w:rPr>
      </w:pPr>
    </w:p>
    <w:p w:rsidRPr="00223607" w:rsidR="00F33CEC" w:rsidP="3828EF9E" w:rsidRDefault="00F33CEC" w14:paraId="1B05E378" w14:textId="7C812069">
      <w:pPr>
        <w:spacing w:after="0" w:line="240" w:lineRule="auto"/>
        <w:jc w:val="both"/>
        <w:rPr>
          <w:b w:val="1"/>
          <w:bCs w:val="1"/>
          <w:sz w:val="24"/>
          <w:szCs w:val="24"/>
        </w:rPr>
      </w:pPr>
      <w:r w:rsidRPr="3828EF9E" w:rsidR="00F33CEC">
        <w:rPr>
          <w:b w:val="1"/>
          <w:bCs w:val="1"/>
          <w:sz w:val="24"/>
          <w:szCs w:val="24"/>
        </w:rPr>
        <w:t xml:space="preserve">London Borough of </w:t>
      </w:r>
      <w:r w:rsidRPr="3828EF9E" w:rsidR="00251B11">
        <w:rPr>
          <w:b w:val="1"/>
          <w:bCs w:val="1"/>
          <w:sz w:val="24"/>
          <w:szCs w:val="24"/>
        </w:rPr>
        <w:t>Hillingdon</w:t>
      </w:r>
      <w:r w:rsidRPr="3828EF9E" w:rsidR="00F33CEC">
        <w:rPr>
          <w:b w:val="1"/>
          <w:bCs w:val="1"/>
          <w:sz w:val="24"/>
          <w:szCs w:val="24"/>
        </w:rPr>
        <w:t xml:space="preserve"> </w:t>
      </w:r>
    </w:p>
    <w:p w:rsidR="3828EF9E" w:rsidP="3828EF9E" w:rsidRDefault="3828EF9E" w14:paraId="3FADBA1B" w14:textId="4115122A">
      <w:pPr>
        <w:spacing w:after="0" w:line="240" w:lineRule="auto"/>
        <w:jc w:val="both"/>
        <w:rPr>
          <w:b w:val="1"/>
          <w:bCs w:val="1"/>
          <w:sz w:val="20"/>
          <w:szCs w:val="20"/>
        </w:rPr>
      </w:pPr>
    </w:p>
    <w:p w:rsidRPr="00223607" w:rsidR="00706FD7" w:rsidP="00C57F6C" w:rsidRDefault="00F33CEC" w14:paraId="2E1EC72C" w14:textId="2CC8476D">
      <w:pPr>
        <w:spacing w:after="0" w:line="240" w:lineRule="auto"/>
        <w:jc w:val="both"/>
        <w:rPr>
          <w:b/>
          <w:bCs/>
          <w:sz w:val="20"/>
          <w:szCs w:val="20"/>
        </w:rPr>
      </w:pPr>
      <w:r w:rsidRPr="0BF28219" w:rsidR="00F33CEC">
        <w:rPr>
          <w:b w:val="1"/>
          <w:bCs w:val="1"/>
          <w:sz w:val="20"/>
          <w:szCs w:val="20"/>
        </w:rPr>
        <w:t xml:space="preserve">NOTICE OF DESIGNATION OF AN AREA FOR ADDITIONAL LICENSING Section 56, Housing Act 2004 </w:t>
      </w:r>
    </w:p>
    <w:p w:rsidRPr="00223607" w:rsidR="00C57F6C" w:rsidP="00C57F6C" w:rsidRDefault="00C57F6C" w14:paraId="65F104EE" w14:textId="77777777">
      <w:pPr>
        <w:spacing w:after="0" w:line="240" w:lineRule="auto"/>
        <w:jc w:val="both"/>
        <w:rPr>
          <w:b/>
          <w:bCs/>
          <w:sz w:val="20"/>
          <w:szCs w:val="20"/>
        </w:rPr>
      </w:pPr>
    </w:p>
    <w:p w:rsidRPr="00223607" w:rsidR="00706FD7" w:rsidP="00C57F6C" w:rsidRDefault="00F33CEC" w14:paraId="5B95F5FC" w14:textId="08F3DCEA">
      <w:pPr>
        <w:spacing w:after="0" w:line="240" w:lineRule="auto"/>
        <w:ind w:left="720" w:hanging="720"/>
        <w:jc w:val="both"/>
        <w:rPr>
          <w:sz w:val="20"/>
          <w:szCs w:val="20"/>
        </w:rPr>
      </w:pPr>
      <w:r w:rsidRPr="00223607">
        <w:rPr>
          <w:sz w:val="20"/>
          <w:szCs w:val="20"/>
        </w:rPr>
        <w:t xml:space="preserve">1. </w:t>
      </w:r>
      <w:r w:rsidRPr="00223607" w:rsidR="002A7F2C">
        <w:rPr>
          <w:sz w:val="20"/>
          <w:szCs w:val="20"/>
        </w:rPr>
        <w:tab/>
      </w:r>
      <w:r w:rsidRPr="00223607">
        <w:rPr>
          <w:sz w:val="20"/>
          <w:szCs w:val="20"/>
        </w:rPr>
        <w:t xml:space="preserve">The London Borough of </w:t>
      </w:r>
      <w:r w:rsidRPr="00223607" w:rsidR="00706FD7">
        <w:rPr>
          <w:sz w:val="20"/>
          <w:szCs w:val="20"/>
        </w:rPr>
        <w:t>Hillingdon</w:t>
      </w:r>
      <w:r w:rsidRPr="00223607">
        <w:rPr>
          <w:sz w:val="20"/>
          <w:szCs w:val="20"/>
        </w:rPr>
        <w:t xml:space="preserve"> (“The Council”) in exercise of its powers under section 56 of the Housing Act 2004 (“the Act”) hereby designates the entire area of its district as subject to Additional Licensing as described at paragraph 6. The designation applies to all Houses in Multiple Occupation (“HMOs’’) as described at paragraph 7. </w:t>
      </w:r>
    </w:p>
    <w:p w:rsidRPr="00223607" w:rsidR="00706FD7" w:rsidP="00C57F6C" w:rsidRDefault="00F33CEC" w14:paraId="6BED0E66" w14:textId="64967DF3">
      <w:pPr>
        <w:spacing w:after="0" w:line="240" w:lineRule="auto"/>
        <w:ind w:left="720" w:hanging="720"/>
        <w:jc w:val="both"/>
        <w:rPr>
          <w:sz w:val="20"/>
          <w:szCs w:val="20"/>
        </w:rPr>
      </w:pPr>
      <w:r w:rsidRPr="0BF28219" w:rsidR="00F33CEC">
        <w:rPr>
          <w:sz w:val="20"/>
          <w:szCs w:val="20"/>
        </w:rPr>
        <w:t xml:space="preserve">2. </w:t>
      </w:r>
      <w:r>
        <w:tab/>
      </w:r>
      <w:r w:rsidRPr="0BF28219" w:rsidR="00F33CEC">
        <w:rPr>
          <w:sz w:val="20"/>
          <w:szCs w:val="20"/>
        </w:rPr>
        <w:t xml:space="preserve">The designation has been made under the general approval granted under Section 56 of the Act and was approved by Cabinet decision taken on the </w:t>
      </w:r>
      <w:r w:rsidRPr="0BF28219" w:rsidR="38501DE5">
        <w:rPr>
          <w:sz w:val="20"/>
          <w:szCs w:val="20"/>
        </w:rPr>
        <w:t>19 February 2026</w:t>
      </w:r>
      <w:r w:rsidRPr="0BF28219" w:rsidR="00F33CEC">
        <w:rPr>
          <w:sz w:val="20"/>
          <w:szCs w:val="20"/>
        </w:rPr>
        <w:t xml:space="preserve">. </w:t>
      </w:r>
    </w:p>
    <w:p w:rsidRPr="00223607" w:rsidR="00706FD7" w:rsidP="00C57F6C" w:rsidRDefault="00F33CEC" w14:paraId="3B995FB7" w14:textId="452DD0F9">
      <w:pPr>
        <w:spacing w:after="0" w:line="240" w:lineRule="auto"/>
        <w:ind w:left="720" w:hanging="720"/>
        <w:jc w:val="both"/>
        <w:rPr>
          <w:sz w:val="20"/>
          <w:szCs w:val="20"/>
        </w:rPr>
      </w:pPr>
      <w:r w:rsidRPr="00223607">
        <w:rPr>
          <w:sz w:val="20"/>
          <w:szCs w:val="20"/>
        </w:rPr>
        <w:t xml:space="preserve">3. </w:t>
      </w:r>
      <w:r w:rsidRPr="00223607" w:rsidR="002A7F2C">
        <w:rPr>
          <w:sz w:val="20"/>
          <w:szCs w:val="20"/>
        </w:rPr>
        <w:tab/>
      </w:r>
      <w:r w:rsidRPr="00223607">
        <w:rPr>
          <w:sz w:val="20"/>
          <w:szCs w:val="20"/>
        </w:rPr>
        <w:t xml:space="preserve">The designation falls within a description of designations in relation to which the Secretary of State has issued a General Approval under section 58 of the Act, namely, The Housing Act 2004: Licensing of Houses of Multiple Occupation and Selective Licensing of Other Residential Accommodation (England) General Approval 2015 which came into force on 1 April 2015. </w:t>
      </w:r>
    </w:p>
    <w:p w:rsidRPr="00223607" w:rsidR="00C57F6C" w:rsidP="00C57F6C" w:rsidRDefault="00C57F6C" w14:paraId="2857B2ED" w14:textId="77777777">
      <w:pPr>
        <w:spacing w:after="0" w:line="240" w:lineRule="auto"/>
        <w:jc w:val="both"/>
        <w:rPr>
          <w:b/>
          <w:bCs/>
          <w:sz w:val="20"/>
          <w:szCs w:val="20"/>
        </w:rPr>
      </w:pPr>
    </w:p>
    <w:p w:rsidRPr="00223607" w:rsidR="00706FD7" w:rsidP="00C57F6C" w:rsidRDefault="00F33CEC" w14:paraId="64061CB0" w14:textId="6A570B41">
      <w:pPr>
        <w:spacing w:after="0" w:line="240" w:lineRule="auto"/>
        <w:jc w:val="both"/>
        <w:rPr>
          <w:b/>
          <w:bCs/>
          <w:sz w:val="20"/>
          <w:szCs w:val="20"/>
        </w:rPr>
      </w:pPr>
      <w:r w:rsidRPr="00223607">
        <w:rPr>
          <w:b/>
          <w:bCs/>
          <w:sz w:val="20"/>
          <w:szCs w:val="20"/>
        </w:rPr>
        <w:t xml:space="preserve">CITATION, COMMENCEMENT AND DURATION </w:t>
      </w:r>
    </w:p>
    <w:p w:rsidRPr="00223607" w:rsidR="00706FD7" w:rsidP="00C57F6C" w:rsidRDefault="00F33CEC" w14:paraId="3CD95820" w14:textId="196DB503">
      <w:pPr>
        <w:spacing w:after="0" w:line="240" w:lineRule="auto"/>
        <w:ind w:left="720" w:hanging="720"/>
        <w:jc w:val="both"/>
        <w:rPr>
          <w:sz w:val="20"/>
          <w:szCs w:val="20"/>
        </w:rPr>
      </w:pPr>
      <w:r w:rsidRPr="0BF28219" w:rsidR="00F33CEC">
        <w:rPr>
          <w:sz w:val="20"/>
          <w:szCs w:val="20"/>
        </w:rPr>
        <w:t xml:space="preserve">4. </w:t>
      </w:r>
      <w:r>
        <w:tab/>
      </w:r>
      <w:r w:rsidRPr="0BF28219" w:rsidR="00F33CEC">
        <w:rPr>
          <w:sz w:val="20"/>
          <w:szCs w:val="20"/>
        </w:rPr>
        <w:t xml:space="preserve">This designation will be known as The London Borough of </w:t>
      </w:r>
      <w:r w:rsidRPr="0BF28219" w:rsidR="00251B11">
        <w:rPr>
          <w:sz w:val="20"/>
          <w:szCs w:val="20"/>
        </w:rPr>
        <w:t>Hillingdon</w:t>
      </w:r>
      <w:r w:rsidRPr="0BF28219" w:rsidR="00F33CEC">
        <w:rPr>
          <w:sz w:val="20"/>
          <w:szCs w:val="20"/>
        </w:rPr>
        <w:t xml:space="preserve"> Designation of an Area for Additional Licensing of Houses in Multiple Occupation 202</w:t>
      </w:r>
      <w:r w:rsidRPr="0BF28219" w:rsidR="355EF385">
        <w:rPr>
          <w:sz w:val="20"/>
          <w:szCs w:val="20"/>
        </w:rPr>
        <w:t>6</w:t>
      </w:r>
      <w:r w:rsidRPr="0BF28219" w:rsidR="00F33CEC">
        <w:rPr>
          <w:sz w:val="20"/>
          <w:szCs w:val="20"/>
        </w:rPr>
        <w:t xml:space="preserve">. The Designation is made on </w:t>
      </w:r>
      <w:r w:rsidRPr="0BF28219" w:rsidR="7A5AE392">
        <w:rPr>
          <w:b w:val="1"/>
          <w:bCs w:val="1"/>
          <w:sz w:val="20"/>
          <w:szCs w:val="20"/>
        </w:rPr>
        <w:t xml:space="preserve">19 February 2026 </w:t>
      </w:r>
      <w:r w:rsidRPr="0BF28219" w:rsidR="00F33CEC">
        <w:rPr>
          <w:sz w:val="20"/>
          <w:szCs w:val="20"/>
        </w:rPr>
        <w:t xml:space="preserve">and shall come into force on </w:t>
      </w:r>
      <w:r w:rsidRPr="0BF28219" w:rsidR="0417A608">
        <w:rPr>
          <w:b w:val="1"/>
          <w:bCs w:val="1"/>
          <w:sz w:val="20"/>
          <w:szCs w:val="20"/>
        </w:rPr>
        <w:t xml:space="preserve">24 August </w:t>
      </w:r>
      <w:r w:rsidRPr="0BF28219" w:rsidR="5580F38D">
        <w:rPr>
          <w:b w:val="1"/>
          <w:bCs w:val="1"/>
          <w:sz w:val="20"/>
          <w:szCs w:val="20"/>
        </w:rPr>
        <w:t>2026</w:t>
      </w:r>
      <w:r w:rsidRPr="0BF28219" w:rsidR="00F33CEC">
        <w:rPr>
          <w:sz w:val="20"/>
          <w:szCs w:val="20"/>
        </w:rPr>
        <w:t xml:space="preserve">. </w:t>
      </w:r>
    </w:p>
    <w:p w:rsidRPr="00223607" w:rsidR="00706FD7" w:rsidP="00C57F6C" w:rsidRDefault="00F33CEC" w14:paraId="73D48DB3" w14:textId="07F5CB7D">
      <w:pPr>
        <w:spacing w:after="0" w:line="240" w:lineRule="auto"/>
        <w:ind w:left="720" w:hanging="720"/>
        <w:jc w:val="both"/>
        <w:rPr>
          <w:sz w:val="20"/>
          <w:szCs w:val="20"/>
        </w:rPr>
      </w:pPr>
      <w:r w:rsidRPr="0BF28219" w:rsidR="00F33CEC">
        <w:rPr>
          <w:sz w:val="20"/>
          <w:szCs w:val="20"/>
        </w:rPr>
        <w:t xml:space="preserve">5. </w:t>
      </w:r>
      <w:r>
        <w:tab/>
      </w:r>
      <w:r w:rsidRPr="0BF28219" w:rsidR="00F33CEC">
        <w:rPr>
          <w:sz w:val="20"/>
          <w:szCs w:val="20"/>
        </w:rPr>
        <w:t xml:space="preserve">The designation shall cease to have effect on </w:t>
      </w:r>
      <w:r w:rsidRPr="0BF28219" w:rsidR="28EC5DA2">
        <w:rPr>
          <w:b w:val="1"/>
          <w:bCs w:val="1"/>
          <w:sz w:val="20"/>
          <w:szCs w:val="20"/>
        </w:rPr>
        <w:t xml:space="preserve">23 August </w:t>
      </w:r>
      <w:r w:rsidRPr="0BF28219" w:rsidR="02BA599B">
        <w:rPr>
          <w:b w:val="1"/>
          <w:bCs w:val="1"/>
          <w:sz w:val="20"/>
          <w:szCs w:val="20"/>
        </w:rPr>
        <w:t>2031</w:t>
      </w:r>
      <w:r w:rsidRPr="0BF28219" w:rsidR="6F1E6857">
        <w:rPr>
          <w:b w:val="1"/>
          <w:bCs w:val="1"/>
          <w:sz w:val="20"/>
          <w:szCs w:val="20"/>
        </w:rPr>
        <w:t xml:space="preserve"> </w:t>
      </w:r>
      <w:r w:rsidRPr="0BF28219" w:rsidR="00F33CEC">
        <w:rPr>
          <w:sz w:val="20"/>
          <w:szCs w:val="20"/>
        </w:rPr>
        <w:t xml:space="preserve">(not more than five years) or earlier if the </w:t>
      </w:r>
      <w:r w:rsidRPr="0BF28219" w:rsidR="5991F80F">
        <w:rPr>
          <w:sz w:val="20"/>
          <w:szCs w:val="20"/>
        </w:rPr>
        <w:t xml:space="preserve">Council </w:t>
      </w:r>
      <w:r w:rsidRPr="0BF28219" w:rsidR="00F33CEC">
        <w:rPr>
          <w:sz w:val="20"/>
          <w:szCs w:val="20"/>
        </w:rPr>
        <w:t xml:space="preserve">revokes the scheme under section 84 of the Act. </w:t>
      </w:r>
    </w:p>
    <w:p w:rsidRPr="00223607" w:rsidR="00706FD7" w:rsidP="00C57F6C" w:rsidRDefault="00F33CEC" w14:paraId="73CC7A50" w14:textId="501B4E03">
      <w:pPr>
        <w:spacing w:after="0" w:line="240" w:lineRule="auto"/>
        <w:ind w:left="720" w:hanging="720"/>
        <w:jc w:val="both"/>
        <w:rPr>
          <w:sz w:val="20"/>
          <w:szCs w:val="20"/>
        </w:rPr>
      </w:pPr>
      <w:r w:rsidRPr="00223607">
        <w:rPr>
          <w:sz w:val="20"/>
          <w:szCs w:val="20"/>
        </w:rPr>
        <w:t xml:space="preserve">6. </w:t>
      </w:r>
      <w:r w:rsidRPr="00223607" w:rsidR="002A7F2C">
        <w:rPr>
          <w:sz w:val="20"/>
          <w:szCs w:val="20"/>
        </w:rPr>
        <w:tab/>
      </w:r>
      <w:r w:rsidRPr="00223607">
        <w:rPr>
          <w:sz w:val="20"/>
          <w:szCs w:val="20"/>
        </w:rPr>
        <w:t xml:space="preserve">This designation shall apply to the entire area of the London Borough of </w:t>
      </w:r>
      <w:r w:rsidRPr="00223607" w:rsidR="00251B11">
        <w:rPr>
          <w:sz w:val="20"/>
          <w:szCs w:val="20"/>
        </w:rPr>
        <w:t>Hillingdon</w:t>
      </w:r>
      <w:r w:rsidRPr="00223607">
        <w:rPr>
          <w:sz w:val="20"/>
          <w:szCs w:val="20"/>
        </w:rPr>
        <w:t xml:space="preserve"> as delineated in red on the map in annex A below. </w:t>
      </w:r>
    </w:p>
    <w:p w:rsidRPr="00223607" w:rsidR="00C57F6C" w:rsidP="00C57F6C" w:rsidRDefault="00C57F6C" w14:paraId="61BE8067" w14:textId="77777777">
      <w:pPr>
        <w:spacing w:after="0" w:line="240" w:lineRule="auto"/>
        <w:jc w:val="both"/>
        <w:rPr>
          <w:b/>
          <w:bCs/>
          <w:sz w:val="20"/>
          <w:szCs w:val="20"/>
        </w:rPr>
      </w:pPr>
    </w:p>
    <w:p w:rsidRPr="00223607" w:rsidR="00706FD7" w:rsidP="00C57F6C" w:rsidRDefault="00F33CEC" w14:paraId="112E4BD4" w14:textId="477800AB">
      <w:pPr>
        <w:spacing w:after="0" w:line="240" w:lineRule="auto"/>
        <w:jc w:val="both"/>
        <w:rPr>
          <w:b/>
          <w:bCs/>
          <w:sz w:val="20"/>
          <w:szCs w:val="20"/>
        </w:rPr>
      </w:pPr>
      <w:r w:rsidRPr="00223607">
        <w:rPr>
          <w:b/>
          <w:bCs/>
          <w:sz w:val="20"/>
          <w:szCs w:val="20"/>
        </w:rPr>
        <w:t xml:space="preserve">APPLICATION OF THE DESIGNATION </w:t>
      </w:r>
    </w:p>
    <w:p w:rsidRPr="00223607" w:rsidR="00706FD7" w:rsidP="00C57F6C" w:rsidRDefault="00F33CEC" w14:paraId="35813AEB" w14:textId="7574385E">
      <w:pPr>
        <w:spacing w:after="0" w:line="240" w:lineRule="auto"/>
        <w:ind w:left="720" w:hanging="720"/>
        <w:jc w:val="both"/>
        <w:rPr>
          <w:sz w:val="20"/>
          <w:szCs w:val="20"/>
        </w:rPr>
      </w:pPr>
      <w:r w:rsidRPr="00223607">
        <w:rPr>
          <w:sz w:val="20"/>
          <w:szCs w:val="20"/>
        </w:rPr>
        <w:t xml:space="preserve">7. </w:t>
      </w:r>
      <w:r w:rsidRPr="00223607" w:rsidR="002A7F2C">
        <w:rPr>
          <w:sz w:val="20"/>
          <w:szCs w:val="20"/>
        </w:rPr>
        <w:tab/>
      </w:r>
      <w:r w:rsidRPr="00223607">
        <w:rPr>
          <w:sz w:val="20"/>
          <w:szCs w:val="20"/>
        </w:rPr>
        <w:t xml:space="preserve">The designation applies to all Houses in Multiple Occupation (HMOs’’) as defined by section 254 of the Act that are occupied by 3 or more persons comprising 2 or more households within the area described at paragraph 1 unless: </w:t>
      </w:r>
    </w:p>
    <w:p w:rsidRPr="00223607" w:rsidR="00706FD7" w:rsidP="00C57F6C" w:rsidRDefault="00F33CEC" w14:paraId="4D038FAE" w14:textId="628365EF">
      <w:pPr>
        <w:spacing w:after="0" w:line="240" w:lineRule="auto"/>
        <w:ind w:left="1440" w:hanging="720"/>
        <w:jc w:val="both"/>
        <w:rPr>
          <w:sz w:val="20"/>
          <w:szCs w:val="20"/>
        </w:rPr>
      </w:pPr>
      <w:r w:rsidRPr="00223607" w:rsidR="00F33CEC">
        <w:rPr>
          <w:sz w:val="20"/>
          <w:szCs w:val="20"/>
        </w:rPr>
        <w:t xml:space="preserve">a. </w:t>
      </w:r>
      <w:r w:rsidRPr="00223607" w:rsidR="002A7F2C">
        <w:rPr>
          <w:sz w:val="20"/>
          <w:szCs w:val="20"/>
        </w:rPr>
        <w:tab/>
      </w:r>
      <w:r w:rsidRPr="00223607" w:rsidR="00F33CEC">
        <w:rPr>
          <w:sz w:val="20"/>
          <w:szCs w:val="20"/>
        </w:rPr>
        <w:t xml:space="preserve">the house is an HMO that falls within the nationally prescribed category of HMO that </w:t>
      </w:r>
      <w:r w:rsidRPr="00223607" w:rsidR="00F33CEC">
        <w:rPr>
          <w:sz w:val="20"/>
          <w:szCs w:val="20"/>
        </w:rPr>
        <w:t xml:space="preserve">is required to</w:t>
      </w:r>
      <w:r w:rsidRPr="00223607" w:rsidR="00F33CEC">
        <w:rPr>
          <w:sz w:val="20"/>
          <w:szCs w:val="20"/>
        </w:rPr>
        <w:t xml:space="preserve"> be licensed as a ‘mandatory HMO’ under section 55(</w:t>
      </w:r>
      <w:r w:rsidRPr="00223607" w:rsidR="0684B54D">
        <w:rPr>
          <w:sz w:val="20"/>
          <w:szCs w:val="20"/>
        </w:rPr>
        <w:t xml:space="preserve">3</w:t>
      </w:r>
      <w:r w:rsidRPr="00223607" w:rsidR="00F33CEC">
        <w:rPr>
          <w:sz w:val="20"/>
          <w:szCs w:val="20"/>
        </w:rPr>
        <w:t xml:space="preserve">)</w:t>
      </w:r>
      <w:r w:rsidRPr="00223607" w:rsidR="00F33CEC">
        <w:rPr>
          <w:sz w:val="20"/>
          <w:szCs w:val="20"/>
        </w:rPr>
        <w:t xml:space="preserve"> of the Act; </w:t>
      </w:r>
      <w:r w:rsidRPr="00223607" w:rsidR="0067406D">
        <w:rPr>
          <w:rStyle w:val="FootnoteReference"/>
          <w:sz w:val="20"/>
          <w:szCs w:val="20"/>
        </w:rPr>
        <w:footnoteReference w:id="1"/>
      </w:r>
    </w:p>
    <w:p w:rsidRPr="00223607" w:rsidR="002A7F2C" w:rsidP="00C57F6C" w:rsidRDefault="00F33CEC" w14:paraId="0F30A21E" w14:textId="77777777">
      <w:pPr>
        <w:spacing w:after="0" w:line="240" w:lineRule="auto"/>
        <w:ind w:left="1440" w:hanging="720"/>
        <w:jc w:val="both"/>
        <w:rPr>
          <w:sz w:val="20"/>
          <w:szCs w:val="20"/>
        </w:rPr>
      </w:pPr>
      <w:r w:rsidRPr="00223607">
        <w:rPr>
          <w:sz w:val="20"/>
          <w:szCs w:val="20"/>
        </w:rPr>
        <w:t xml:space="preserve">b. </w:t>
      </w:r>
      <w:r w:rsidRPr="00223607" w:rsidR="002A7F2C">
        <w:rPr>
          <w:sz w:val="20"/>
          <w:szCs w:val="20"/>
        </w:rPr>
        <w:tab/>
      </w:r>
      <w:r w:rsidRPr="00223607">
        <w:rPr>
          <w:sz w:val="20"/>
          <w:szCs w:val="20"/>
        </w:rPr>
        <w:t xml:space="preserve">the house is subject to an Interim or Final Management Order under Part 4 of the </w:t>
      </w:r>
      <w:proofErr w:type="gramStart"/>
      <w:r w:rsidRPr="00223607">
        <w:rPr>
          <w:sz w:val="20"/>
          <w:szCs w:val="20"/>
        </w:rPr>
        <w:t>Act;</w:t>
      </w:r>
      <w:proofErr w:type="gramEnd"/>
      <w:r w:rsidRPr="00223607">
        <w:rPr>
          <w:sz w:val="20"/>
          <w:szCs w:val="20"/>
        </w:rPr>
        <w:t xml:space="preserve"> </w:t>
      </w:r>
    </w:p>
    <w:p w:rsidRPr="00223607" w:rsidR="00706FD7" w:rsidP="00C57F6C" w:rsidRDefault="00F33CEC" w14:paraId="076ED388" w14:textId="57C81D3B">
      <w:pPr>
        <w:spacing w:after="0" w:line="240" w:lineRule="auto"/>
        <w:ind w:left="1440" w:hanging="720"/>
        <w:jc w:val="both"/>
        <w:rPr>
          <w:sz w:val="20"/>
          <w:szCs w:val="20"/>
        </w:rPr>
      </w:pPr>
      <w:r w:rsidRPr="00223607">
        <w:rPr>
          <w:sz w:val="20"/>
          <w:szCs w:val="20"/>
        </w:rPr>
        <w:t xml:space="preserve">c. </w:t>
      </w:r>
      <w:r w:rsidRPr="00223607" w:rsidR="002A7F2C">
        <w:rPr>
          <w:sz w:val="20"/>
          <w:szCs w:val="20"/>
        </w:rPr>
        <w:tab/>
      </w:r>
      <w:r w:rsidRPr="00223607">
        <w:rPr>
          <w:sz w:val="20"/>
          <w:szCs w:val="20"/>
        </w:rPr>
        <w:t xml:space="preserve">the house is subject to a temporary exemption under section 62 of the </w:t>
      </w:r>
      <w:proofErr w:type="gramStart"/>
      <w:r w:rsidRPr="00223607">
        <w:rPr>
          <w:sz w:val="20"/>
          <w:szCs w:val="20"/>
        </w:rPr>
        <w:t>Act;</w:t>
      </w:r>
      <w:proofErr w:type="gramEnd"/>
      <w:r w:rsidRPr="00223607">
        <w:rPr>
          <w:sz w:val="20"/>
          <w:szCs w:val="20"/>
        </w:rPr>
        <w:t xml:space="preserve"> </w:t>
      </w:r>
    </w:p>
    <w:p w:rsidRPr="00223607" w:rsidR="00706FD7" w:rsidP="00C57F6C" w:rsidRDefault="00F33CEC" w14:paraId="71691C21" w14:textId="2EE5195D">
      <w:pPr>
        <w:spacing w:after="0" w:line="240" w:lineRule="auto"/>
        <w:ind w:left="1440" w:hanging="720"/>
        <w:jc w:val="both"/>
        <w:rPr>
          <w:sz w:val="20"/>
          <w:szCs w:val="20"/>
        </w:rPr>
      </w:pPr>
      <w:r w:rsidRPr="00223607" w:rsidR="00F33CEC">
        <w:rPr>
          <w:sz w:val="20"/>
          <w:szCs w:val="20"/>
        </w:rPr>
        <w:t>d.</w:t>
      </w:r>
      <w:r w:rsidRPr="00223607" w:rsidR="002A7F2C">
        <w:rPr>
          <w:sz w:val="20"/>
          <w:szCs w:val="20"/>
        </w:rPr>
        <w:tab/>
      </w:r>
      <w:r w:rsidRPr="00223607" w:rsidR="00F33CEC">
        <w:rPr>
          <w:sz w:val="20"/>
          <w:szCs w:val="20"/>
        </w:rPr>
        <w:t xml:space="preserve"> The house is an HMO that is a building or part of a building that is not an HMO for the purposes of licensing under Part 2 of the Act</w:t>
      </w:r>
      <w:r w:rsidRPr="00223607" w:rsidR="0067406D">
        <w:rPr>
          <w:rStyle w:val="FootnoteReference"/>
          <w:sz w:val="20"/>
          <w:szCs w:val="20"/>
        </w:rPr>
        <w:footnoteReference w:id="2"/>
      </w:r>
      <w:r w:rsidRPr="00223607" w:rsidR="53B5A5FF">
        <w:rPr>
          <w:sz w:val="20"/>
          <w:szCs w:val="20"/>
        </w:rPr>
        <w:t xml:space="preserve"> and</w:t>
      </w:r>
      <w:r w:rsidRPr="00223607" w:rsidR="00F33CEC">
        <w:rPr>
          <w:sz w:val="20"/>
          <w:szCs w:val="20"/>
        </w:rPr>
        <w:t xml:space="preserve"> Schedule 14 of the Act; or </w:t>
      </w:r>
    </w:p>
    <w:p w:rsidRPr="00223607" w:rsidR="00706FD7" w:rsidP="0BF28219" w:rsidRDefault="00F33CEC" w14:paraId="201D5923" w14:textId="078A4DBF">
      <w:pPr>
        <w:spacing w:after="0" w:line="240" w:lineRule="auto"/>
        <w:ind w:left="1440" w:hanging="720"/>
        <w:jc w:val="both"/>
        <w:rPr>
          <w:b w:val="0"/>
          <w:bCs w:val="0"/>
          <w:i w:val="0"/>
          <w:iCs w:val="0"/>
          <w:sz w:val="20"/>
          <w:szCs w:val="20"/>
        </w:rPr>
      </w:pPr>
      <w:r w:rsidRPr="0BF28219" w:rsidR="00F33CEC">
        <w:rPr>
          <w:sz w:val="20"/>
          <w:szCs w:val="20"/>
        </w:rPr>
        <w:t xml:space="preserve">e. </w:t>
      </w:r>
      <w:r>
        <w:tab/>
      </w:r>
      <w:r w:rsidRPr="0BF28219" w:rsidR="00F33CEC">
        <w:rPr>
          <w:b w:val="0"/>
          <w:bCs w:val="0"/>
          <w:i w:val="0"/>
          <w:iCs w:val="0"/>
          <w:sz w:val="20"/>
          <w:szCs w:val="20"/>
        </w:rPr>
        <w:t>i</w:t>
      </w:r>
      <w:r w:rsidRPr="0BF28219" w:rsidR="00F33CEC">
        <w:rPr>
          <w:b w:val="0"/>
          <w:bCs w:val="0"/>
          <w:i w:val="0"/>
          <w:iCs w:val="0"/>
          <w:sz w:val="20"/>
          <w:szCs w:val="20"/>
        </w:rPr>
        <w:t>t</w:t>
      </w:r>
      <w:r w:rsidRPr="0BF28219" w:rsidR="00F33CEC">
        <w:rPr>
          <w:b w:val="0"/>
          <w:bCs w:val="0"/>
          <w:i w:val="0"/>
          <w:iCs w:val="0"/>
          <w:sz w:val="20"/>
          <w:szCs w:val="20"/>
        </w:rPr>
        <w:t xml:space="preserve"> is a building converted into self-contained flats but does not meet the standards of conversion required by the Building Regulations 1991, and where less than two thirds of the flats are owner occupied to which Section 257 of the Housing Act 2004 applies where: the building or part of a building is of three or more storeys that have been converted into three or more self-contained flats and where both the building and self-contained flats it contains are under the same ownership or considered by the council to be effectively under the same control. </w:t>
      </w:r>
    </w:p>
    <w:p w:rsidR="3828EF9E" w:rsidP="0BF28219" w:rsidRDefault="3828EF9E" w14:paraId="5590C2C9" w14:textId="6A29ACEE">
      <w:pPr>
        <w:spacing w:after="0" w:line="240" w:lineRule="auto"/>
        <w:jc w:val="both"/>
        <w:rPr>
          <w:b w:val="0"/>
          <w:bCs w:val="0"/>
          <w:sz w:val="20"/>
          <w:szCs w:val="20"/>
        </w:rPr>
      </w:pPr>
    </w:p>
    <w:p w:rsidRPr="00223607" w:rsidR="00706FD7" w:rsidP="00C57F6C" w:rsidRDefault="00F33CEC" w14:paraId="68105D40" w14:textId="01CB5054">
      <w:pPr>
        <w:spacing w:after="0" w:line="240" w:lineRule="auto"/>
        <w:jc w:val="both"/>
        <w:rPr>
          <w:b w:val="1"/>
          <w:bCs w:val="1"/>
          <w:sz w:val="20"/>
          <w:szCs w:val="20"/>
        </w:rPr>
      </w:pPr>
      <w:r w:rsidRPr="3828EF9E" w:rsidR="00F33CEC">
        <w:rPr>
          <w:b w:val="1"/>
          <w:bCs w:val="1"/>
          <w:sz w:val="20"/>
          <w:szCs w:val="20"/>
        </w:rPr>
        <w:t xml:space="preserve">EFFECT OF THE DESIGNATION </w:t>
      </w:r>
    </w:p>
    <w:p w:rsidRPr="00223607" w:rsidR="00706FD7" w:rsidP="00C57F6C" w:rsidRDefault="00F33CEC" w14:paraId="742EAE23" w14:textId="3792BED8">
      <w:pPr>
        <w:spacing w:after="0" w:line="240" w:lineRule="auto"/>
        <w:ind w:left="720" w:hanging="720"/>
        <w:jc w:val="both"/>
        <w:rPr>
          <w:sz w:val="20"/>
          <w:szCs w:val="20"/>
        </w:rPr>
      </w:pPr>
      <w:r w:rsidRPr="00223607">
        <w:rPr>
          <w:sz w:val="20"/>
          <w:szCs w:val="20"/>
        </w:rPr>
        <w:t xml:space="preserve">8. </w:t>
      </w:r>
      <w:r w:rsidRPr="00223607" w:rsidR="002A7F2C">
        <w:rPr>
          <w:sz w:val="20"/>
          <w:szCs w:val="20"/>
        </w:rPr>
        <w:tab/>
      </w:r>
      <w:r w:rsidRPr="00223607">
        <w:rPr>
          <w:i/>
          <w:iCs/>
          <w:sz w:val="20"/>
          <w:szCs w:val="20"/>
        </w:rPr>
        <w:t xml:space="preserve">Subject to sub paragraphs </w:t>
      </w:r>
      <w:r w:rsidRPr="00223607">
        <w:rPr>
          <w:b/>
          <w:bCs/>
          <w:i/>
          <w:iCs/>
          <w:sz w:val="20"/>
          <w:szCs w:val="20"/>
        </w:rPr>
        <w:t>7(a) to (e)</w:t>
      </w:r>
      <w:r w:rsidRPr="00223607">
        <w:rPr>
          <w:i/>
          <w:iCs/>
          <w:sz w:val="20"/>
          <w:szCs w:val="20"/>
        </w:rPr>
        <w:t xml:space="preserve"> above</w:t>
      </w:r>
      <w:r w:rsidRPr="00223607">
        <w:rPr>
          <w:sz w:val="20"/>
          <w:szCs w:val="20"/>
        </w:rPr>
        <w:t xml:space="preserve">, every HMO of the description specified in that paragraph in the area specified in paragraph 6 shall be required to be licensed under section 61 of the Act. </w:t>
      </w:r>
    </w:p>
    <w:p w:rsidRPr="00223607" w:rsidR="00706FD7" w:rsidP="0BF28219" w:rsidRDefault="00F33CEC" w14:paraId="23E27292" w14:textId="112D42A2">
      <w:pPr>
        <w:pStyle w:val="Normal"/>
        <w:spacing w:after="0" w:line="240" w:lineRule="auto"/>
        <w:ind w:left="720" w:hanging="720"/>
        <w:jc w:val="both"/>
        <w:rPr>
          <w:sz w:val="20"/>
          <w:szCs w:val="20"/>
        </w:rPr>
      </w:pPr>
      <w:r w:rsidRPr="00223607" w:rsidR="00F33CEC">
        <w:rPr>
          <w:sz w:val="20"/>
          <w:szCs w:val="20"/>
        </w:rPr>
        <w:t xml:space="preserve">9. </w:t>
      </w:r>
      <w:r>
        <w:tab/>
      </w:r>
      <w:r w:rsidRPr="00223607" w:rsidR="778B5556">
        <w:rPr>
          <w:sz w:val="20"/>
          <w:szCs w:val="20"/>
        </w:rPr>
        <w:t xml:space="preserve">T</w:t>
      </w:r>
      <w:r w:rsidRPr="00223607" w:rsidR="00F33CEC">
        <w:rPr>
          <w:sz w:val="20"/>
          <w:szCs w:val="20"/>
        </w:rPr>
        <w:t xml:space="preserve">he </w:t>
      </w:r>
      <w:r w:rsidRPr="00223607" w:rsidR="7EEFC6EE">
        <w:rPr>
          <w:sz w:val="20"/>
          <w:szCs w:val="20"/>
        </w:rPr>
        <w:t xml:space="preserve">Council</w:t>
      </w:r>
      <w:r w:rsidRPr="00223607" w:rsidR="3C4ABE9E">
        <w:rPr>
          <w:sz w:val="20"/>
          <w:szCs w:val="20"/>
        </w:rPr>
        <w:t xml:space="preserve"> </w:t>
      </w:r>
      <w:r w:rsidRPr="0BF28219" w:rsidR="3C4ABE9E">
        <w:rPr>
          <w:rFonts w:ascii="Aptos" w:hAnsi="Aptos" w:eastAsia="Aptos" w:cs="Aptos"/>
          <w:noProof w:val="0"/>
          <w:sz w:val="20"/>
          <w:szCs w:val="20"/>
          <w:lang w:val="en-GB"/>
        </w:rPr>
        <w:t xml:space="preserve">will </w:t>
      </w:r>
      <w:r w:rsidRPr="0BF28219" w:rsidR="3C4ABE9E">
        <w:rPr>
          <w:rFonts w:ascii="Aptos" w:hAnsi="Aptos" w:eastAsia="Aptos" w:cs="Aptos"/>
          <w:noProof w:val="0"/>
          <w:sz w:val="20"/>
          <w:szCs w:val="20"/>
          <w:lang w:val="en-GB"/>
        </w:rPr>
        <w:t>comply with</w:t>
      </w:r>
      <w:r w:rsidRPr="0BF28219" w:rsidR="3C4ABE9E">
        <w:rPr>
          <w:rFonts w:ascii="Aptos" w:hAnsi="Aptos" w:eastAsia="Aptos" w:cs="Aptos"/>
          <w:noProof w:val="0"/>
          <w:sz w:val="20"/>
          <w:szCs w:val="20"/>
          <w:lang w:val="en-GB"/>
        </w:rPr>
        <w:t xml:space="preserve"> the notification requirements contained in section 59 of the Act</w:t>
      </w:r>
      <w:r w:rsidRPr="0BF28219" w:rsidR="30451593">
        <w:rPr>
          <w:rFonts w:ascii="Aptos" w:hAnsi="Aptos" w:eastAsia="Aptos" w:cs="Aptos"/>
          <w:noProof w:val="0"/>
          <w:sz w:val="20"/>
          <w:szCs w:val="20"/>
          <w:lang w:val="en-GB"/>
        </w:rPr>
        <w:t xml:space="preserve"> and</w:t>
      </w:r>
      <w:r w:rsidRPr="0BF28219" w:rsidR="00F33CEC">
        <w:rPr>
          <w:sz w:val="20"/>
          <w:szCs w:val="20"/>
        </w:rPr>
        <w:t xml:space="preserve"> </w:t>
      </w:r>
      <w:r w:rsidRPr="00223607" w:rsidR="6B5C8A55">
        <w:rPr>
          <w:sz w:val="20"/>
          <w:szCs w:val="20"/>
        </w:rPr>
        <w:t xml:space="preserve">shall </w:t>
      </w:r>
      <w:r w:rsidRPr="00223607" w:rsidR="00F33CEC">
        <w:rPr>
          <w:sz w:val="20"/>
          <w:szCs w:val="20"/>
        </w:rPr>
        <w:t xml:space="preserve">maintain</w:t>
      </w:r>
      <w:r w:rsidRPr="00223607" w:rsidR="00F33CEC">
        <w:rPr>
          <w:sz w:val="20"/>
          <w:szCs w:val="20"/>
        </w:rPr>
        <w:t xml:space="preserve"> a register of all houses registered under this designation, as required under section 232 of the Act</w:t>
      </w:r>
      <w:r w:rsidRPr="0BF28219" w:rsidR="0067406D">
        <w:rPr/>
        <w:t xml:space="preserve">￼</w:t>
      </w:r>
      <w:r w:rsidRPr="00223607" w:rsidR="00F33CEC">
        <w:rPr>
          <w:sz w:val="20"/>
          <w:szCs w:val="20"/>
        </w:rPr>
        <w:t>.</w:t>
      </w:r>
    </w:p>
    <w:p w:rsidR="00223607" w:rsidP="00C57F6C" w:rsidRDefault="00223607" w14:paraId="7DCCBA02" w14:textId="77777777">
      <w:pPr>
        <w:spacing w:after="0" w:line="240" w:lineRule="auto"/>
        <w:jc w:val="both"/>
        <w:rPr>
          <w:sz w:val="20"/>
          <w:szCs w:val="20"/>
        </w:rPr>
      </w:pPr>
    </w:p>
    <w:p w:rsidRPr="00223607" w:rsidR="00706FD7" w:rsidP="0BF28219" w:rsidRDefault="00F33CEC" w14:paraId="126ECE52" w14:textId="707BE797">
      <w:pPr>
        <w:pStyle w:val="Normal"/>
        <w:spacing w:after="0" w:line="240" w:lineRule="auto"/>
        <w:jc w:val="both"/>
        <w:rPr>
          <w:rFonts w:ascii="Aptos" w:hAnsi="Aptos" w:eastAsia="Aptos" w:cs="Aptos"/>
          <w:noProof w:val="0"/>
          <w:sz w:val="20"/>
          <w:szCs w:val="20"/>
          <w:lang w:val="en-GB"/>
        </w:rPr>
      </w:pPr>
      <w:r w:rsidRPr="0BF28219" w:rsidR="00F33CEC">
        <w:rPr>
          <w:sz w:val="20"/>
          <w:szCs w:val="20"/>
        </w:rPr>
        <w:t xml:space="preserve"> If you are a landlord, managing agent or a tenant, or if you require information regarding this designation, or to apply for a licence, further information and assistance is available from the Council’s Private Sector Housing Team by telephone on </w:t>
      </w:r>
      <w:r w:rsidRPr="0BF28219" w:rsidR="3A4E1D69">
        <w:rPr>
          <w:sz w:val="20"/>
          <w:szCs w:val="20"/>
        </w:rPr>
        <w:t xml:space="preserve">01895 556 483/01895 556 484 </w:t>
      </w:r>
      <w:r w:rsidRPr="0BF28219" w:rsidR="00F33CEC">
        <w:rPr>
          <w:sz w:val="20"/>
          <w:szCs w:val="20"/>
        </w:rPr>
        <w:t>or by email to private</w:t>
      </w:r>
      <w:r w:rsidRPr="0BF28219" w:rsidR="583E3416">
        <w:rPr>
          <w:sz w:val="20"/>
          <w:szCs w:val="20"/>
        </w:rPr>
        <w:t>sector</w:t>
      </w:r>
      <w:r w:rsidRPr="0BF28219" w:rsidR="000C2EB9">
        <w:rPr>
          <w:sz w:val="20"/>
          <w:szCs w:val="20"/>
        </w:rPr>
        <w:t>housing</w:t>
      </w:r>
      <w:r w:rsidRPr="0BF28219" w:rsidR="00F33CEC">
        <w:rPr>
          <w:sz w:val="20"/>
          <w:szCs w:val="20"/>
        </w:rPr>
        <w:t>@</w:t>
      </w:r>
      <w:r w:rsidRPr="0BF28219" w:rsidR="000C2EB9">
        <w:rPr>
          <w:sz w:val="20"/>
          <w:szCs w:val="20"/>
        </w:rPr>
        <w:t>h</w:t>
      </w:r>
      <w:r w:rsidRPr="0BF28219" w:rsidR="00251B11">
        <w:rPr>
          <w:sz w:val="20"/>
          <w:szCs w:val="20"/>
        </w:rPr>
        <w:t>illingdon</w:t>
      </w:r>
      <w:r w:rsidRPr="0BF28219" w:rsidR="00F33CEC">
        <w:rPr>
          <w:sz w:val="20"/>
          <w:szCs w:val="20"/>
        </w:rPr>
        <w:t xml:space="preserve">.gov.uk, or by writing to Private Sector Housing Team, Civic Centre, </w:t>
      </w:r>
      <w:r w:rsidRPr="0BF28219" w:rsidR="000C2EB9">
        <w:rPr>
          <w:sz w:val="20"/>
          <w:szCs w:val="20"/>
        </w:rPr>
        <w:t>High Street Uxbridge UB8 1UW</w:t>
      </w:r>
      <w:r w:rsidRPr="0BF28219" w:rsidR="00F33CEC">
        <w:rPr>
          <w:sz w:val="20"/>
          <w:szCs w:val="20"/>
        </w:rPr>
        <w:t xml:space="preserve">. </w:t>
      </w:r>
      <w:r w:rsidRPr="0BF28219" w:rsidR="75B152A1">
        <w:rPr>
          <w:sz w:val="20"/>
          <w:szCs w:val="20"/>
        </w:rPr>
        <w:t xml:space="preserve">It can also be viewed on the Council’s website at </w:t>
      </w:r>
      <w:hyperlink r:id="Rb9df12ec8df84f19">
        <w:r w:rsidRPr="0BF28219" w:rsidR="3A00C470">
          <w:rPr>
            <w:rStyle w:val="Hyperlink"/>
            <w:rFonts w:ascii="Segoe UI" w:hAnsi="Segoe UI" w:eastAsia="Segoe UI" w:cs="Segoe UI"/>
            <w:b w:val="0"/>
            <w:bCs w:val="0"/>
            <w:i w:val="0"/>
            <w:iCs w:val="0"/>
            <w:caps w:val="0"/>
            <w:smallCaps w:val="0"/>
            <w:noProof w:val="0"/>
            <w:sz w:val="18"/>
            <w:szCs w:val="18"/>
            <w:lang w:val="en-GB"/>
          </w:rPr>
          <w:t>https://www.hillingdon.gov.uk/HMO</w:t>
        </w:r>
      </w:hyperlink>
      <w:r w:rsidRPr="0BF28219" w:rsidR="3A00C470">
        <w:rPr>
          <w:rFonts w:ascii="Segoe UI" w:hAnsi="Segoe UI" w:eastAsia="Segoe UI" w:cs="Segoe UI"/>
          <w:b w:val="0"/>
          <w:bCs w:val="0"/>
          <w:i w:val="0"/>
          <w:iCs w:val="0"/>
          <w:caps w:val="0"/>
          <w:smallCaps w:val="0"/>
          <w:noProof w:val="0"/>
          <w:color w:val="000000" w:themeColor="text1" w:themeTint="FF" w:themeShade="FF"/>
          <w:sz w:val="18"/>
          <w:szCs w:val="18"/>
          <w:lang w:val="en-GB"/>
        </w:rPr>
        <w:t xml:space="preserve"> </w:t>
      </w:r>
    </w:p>
    <w:p w:rsidR="0BF28219" w:rsidP="0BF28219" w:rsidRDefault="0BF28219" w14:paraId="48160A11" w14:textId="3EDD6103">
      <w:pPr>
        <w:spacing w:after="0" w:line="240" w:lineRule="auto"/>
        <w:jc w:val="both"/>
        <w:rPr>
          <w:sz w:val="20"/>
          <w:szCs w:val="20"/>
        </w:rPr>
      </w:pPr>
    </w:p>
    <w:p w:rsidRPr="00223607" w:rsidR="00706FD7" w:rsidP="00C57F6C" w:rsidRDefault="00F33CEC" w14:paraId="25B6FC5F" w14:textId="19082B35">
      <w:pPr>
        <w:spacing w:after="0" w:line="240" w:lineRule="auto"/>
        <w:jc w:val="both"/>
        <w:rPr>
          <w:sz w:val="20"/>
          <w:szCs w:val="20"/>
        </w:rPr>
      </w:pPr>
      <w:r w:rsidRPr="0BF28219" w:rsidR="00F33CEC">
        <w:rPr>
          <w:sz w:val="20"/>
          <w:szCs w:val="20"/>
        </w:rPr>
        <w:t xml:space="preserve">The Designation may be inspected at the </w:t>
      </w:r>
      <w:r w:rsidRPr="0BF28219" w:rsidR="23C0AB23">
        <w:rPr>
          <w:sz w:val="20"/>
          <w:szCs w:val="20"/>
        </w:rPr>
        <w:t>Civic Centre</w:t>
      </w:r>
      <w:r w:rsidRPr="0BF28219" w:rsidR="2CE3AEEC">
        <w:rPr>
          <w:sz w:val="20"/>
          <w:szCs w:val="20"/>
        </w:rPr>
        <w:t xml:space="preserve"> between 9:00am-5:00pm</w:t>
      </w:r>
      <w:r w:rsidRPr="0BF28219" w:rsidR="00F33CEC">
        <w:rPr>
          <w:sz w:val="20"/>
          <w:szCs w:val="20"/>
        </w:rPr>
        <w:t xml:space="preserve">. All landlords, managing agents or tenants within the designated area should obtain advice to </w:t>
      </w:r>
      <w:r w:rsidRPr="0BF28219" w:rsidR="00F33CEC">
        <w:rPr>
          <w:sz w:val="20"/>
          <w:szCs w:val="20"/>
        </w:rPr>
        <w:t>ascertain</w:t>
      </w:r>
      <w:r w:rsidRPr="0BF28219" w:rsidR="00F33CEC">
        <w:rPr>
          <w:sz w:val="20"/>
          <w:szCs w:val="20"/>
        </w:rPr>
        <w:t xml:space="preserve"> whether their property is affected by the Designation by contacting the Council’s Private Sector Housing Team. </w:t>
      </w:r>
    </w:p>
    <w:p w:rsidRPr="00223607" w:rsidR="00251B11" w:rsidP="00C57F6C" w:rsidRDefault="00F33CEC" w14:paraId="365ADFD9" w14:textId="0A4C0F24">
      <w:pPr>
        <w:spacing w:after="0" w:line="240" w:lineRule="auto"/>
        <w:jc w:val="both"/>
        <w:rPr>
          <w:sz w:val="20"/>
          <w:szCs w:val="20"/>
        </w:rPr>
      </w:pPr>
    </w:p>
    <w:p w:rsidRPr="00223607" w:rsidR="00706FD7" w:rsidP="0BF28219" w:rsidRDefault="00F33CEC" w14:paraId="2FA8827E" w14:textId="4C386A2F">
      <w:pPr>
        <w:pStyle w:val="Normal"/>
        <w:spacing w:after="0" w:line="240" w:lineRule="auto"/>
        <w:jc w:val="both"/>
        <w:rPr>
          <w:rFonts w:ascii="Segoe UI" w:hAnsi="Segoe UI" w:eastAsia="Segoe UI" w:cs="Segoe UI"/>
          <w:b w:val="0"/>
          <w:bCs w:val="0"/>
          <w:i w:val="0"/>
          <w:iCs w:val="0"/>
          <w:caps w:val="0"/>
          <w:smallCaps w:val="0"/>
          <w:noProof w:val="0"/>
          <w:color w:val="000000" w:themeColor="text1" w:themeTint="FF" w:themeShade="FF"/>
          <w:sz w:val="18"/>
          <w:szCs w:val="18"/>
          <w:lang w:val="en-GB"/>
        </w:rPr>
      </w:pPr>
      <w:r w:rsidRPr="0BF28219" w:rsidR="00F33CEC">
        <w:rPr>
          <w:sz w:val="20"/>
          <w:szCs w:val="20"/>
        </w:rPr>
        <w:t>Email: private</w:t>
      </w:r>
      <w:r w:rsidRPr="0BF28219" w:rsidR="00251B11">
        <w:rPr>
          <w:sz w:val="20"/>
          <w:szCs w:val="20"/>
        </w:rPr>
        <w:t>sector</w:t>
      </w:r>
      <w:r w:rsidRPr="0BF28219" w:rsidR="00F33CEC">
        <w:rPr>
          <w:sz w:val="20"/>
          <w:szCs w:val="20"/>
        </w:rPr>
        <w:t>housing@</w:t>
      </w:r>
      <w:r w:rsidRPr="0BF28219" w:rsidR="00223607">
        <w:rPr>
          <w:sz w:val="20"/>
          <w:szCs w:val="20"/>
        </w:rPr>
        <w:t>h</w:t>
      </w:r>
      <w:r w:rsidRPr="0BF28219" w:rsidR="00251B11">
        <w:rPr>
          <w:sz w:val="20"/>
          <w:szCs w:val="20"/>
        </w:rPr>
        <w:t>illingdon</w:t>
      </w:r>
      <w:r w:rsidRPr="0BF28219" w:rsidR="00F33CEC">
        <w:rPr>
          <w:sz w:val="20"/>
          <w:szCs w:val="20"/>
        </w:rPr>
        <w:t xml:space="preserve">.gov.uk Tel: </w:t>
      </w:r>
      <w:r w:rsidRPr="0BF28219" w:rsidR="321976F2">
        <w:rPr>
          <w:sz w:val="20"/>
          <w:szCs w:val="20"/>
        </w:rPr>
        <w:t>01895 556 483/01895 556 484</w:t>
      </w:r>
    </w:p>
    <w:p w:rsidR="00223607" w:rsidP="00C57F6C" w:rsidRDefault="00223607" w14:paraId="163EF8E7" w14:textId="77777777">
      <w:pPr>
        <w:spacing w:after="0" w:line="240" w:lineRule="auto"/>
        <w:jc w:val="both"/>
        <w:rPr>
          <w:b/>
          <w:bCs/>
          <w:sz w:val="20"/>
          <w:szCs w:val="20"/>
        </w:rPr>
      </w:pPr>
    </w:p>
    <w:p w:rsidRPr="00223607" w:rsidR="00251B11" w:rsidP="00C57F6C" w:rsidRDefault="00F33CEC" w14:paraId="085C9859" w14:textId="1E008D71">
      <w:pPr>
        <w:spacing w:after="0" w:line="240" w:lineRule="auto"/>
        <w:jc w:val="both"/>
        <w:rPr>
          <w:b/>
          <w:bCs/>
          <w:sz w:val="20"/>
          <w:szCs w:val="20"/>
        </w:rPr>
      </w:pPr>
      <w:r w:rsidRPr="00223607">
        <w:rPr>
          <w:b/>
          <w:bCs/>
          <w:sz w:val="20"/>
          <w:szCs w:val="20"/>
        </w:rPr>
        <w:t xml:space="preserve">WARNING </w:t>
      </w:r>
    </w:p>
    <w:p w:rsidR="00223607" w:rsidP="00C57F6C" w:rsidRDefault="00F33CEC" w14:paraId="068D86EC" w14:textId="3B51BA4E">
      <w:pPr>
        <w:spacing w:after="0" w:line="240" w:lineRule="auto"/>
        <w:jc w:val="both"/>
        <w:rPr>
          <w:sz w:val="20"/>
          <w:szCs w:val="20"/>
        </w:rPr>
      </w:pPr>
      <w:r w:rsidRPr="0BF28219" w:rsidR="00F33CEC">
        <w:rPr>
          <w:sz w:val="20"/>
          <w:szCs w:val="20"/>
        </w:rPr>
        <w:t xml:space="preserve">Upon the designation coming into force on </w:t>
      </w:r>
      <w:r w:rsidRPr="0BF28219" w:rsidR="542503C6">
        <w:rPr>
          <w:b w:val="1"/>
          <w:bCs w:val="1"/>
          <w:sz w:val="20"/>
          <w:szCs w:val="20"/>
        </w:rPr>
        <w:t>2</w:t>
      </w:r>
      <w:r w:rsidRPr="0BF28219" w:rsidR="32F24797">
        <w:rPr>
          <w:b w:val="1"/>
          <w:bCs w:val="1"/>
          <w:sz w:val="20"/>
          <w:szCs w:val="20"/>
        </w:rPr>
        <w:t>4</w:t>
      </w:r>
      <w:r w:rsidRPr="0BF28219" w:rsidR="66322085">
        <w:rPr>
          <w:b w:val="1"/>
          <w:bCs w:val="1"/>
          <w:sz w:val="20"/>
          <w:szCs w:val="20"/>
        </w:rPr>
        <w:t xml:space="preserve"> </w:t>
      </w:r>
      <w:r w:rsidRPr="0BF28219" w:rsidR="3BE18648">
        <w:rPr>
          <w:b w:val="1"/>
          <w:bCs w:val="1"/>
          <w:sz w:val="20"/>
          <w:szCs w:val="20"/>
        </w:rPr>
        <w:t xml:space="preserve">August </w:t>
      </w:r>
      <w:r w:rsidRPr="0BF28219" w:rsidR="66322085">
        <w:rPr>
          <w:b w:val="1"/>
          <w:bCs w:val="1"/>
          <w:sz w:val="20"/>
          <w:szCs w:val="20"/>
        </w:rPr>
        <w:t>2026</w:t>
      </w:r>
      <w:r w:rsidRPr="0BF28219" w:rsidR="00F33CEC">
        <w:rPr>
          <w:sz w:val="20"/>
          <w:szCs w:val="20"/>
        </w:rPr>
        <w:t xml:space="preserve">, any person who operates a licensable property without a licence or allows a licensed property to be occupied by more households or persons other than as authorised by a licence, is liable to prosecution and upon summary conviction is liable to an unlimited fine. </w:t>
      </w:r>
    </w:p>
    <w:p w:rsidR="00223607" w:rsidP="00C57F6C" w:rsidRDefault="00223607" w14:paraId="3BD4ECFE" w14:textId="77777777">
      <w:pPr>
        <w:spacing w:after="0" w:line="240" w:lineRule="auto"/>
        <w:jc w:val="both"/>
        <w:rPr>
          <w:sz w:val="20"/>
          <w:szCs w:val="20"/>
        </w:rPr>
      </w:pPr>
    </w:p>
    <w:p w:rsidRPr="00223607" w:rsidR="00706FD7" w:rsidP="00C57F6C" w:rsidRDefault="00F33CEC" w14:paraId="7AE96E65" w14:textId="7E7DD157">
      <w:pPr>
        <w:spacing w:after="0" w:line="240" w:lineRule="auto"/>
        <w:jc w:val="both"/>
        <w:rPr>
          <w:sz w:val="20"/>
          <w:szCs w:val="20"/>
        </w:rPr>
      </w:pPr>
      <w:r w:rsidRPr="00223607">
        <w:rPr>
          <w:sz w:val="20"/>
          <w:szCs w:val="20"/>
        </w:rPr>
        <w:t xml:space="preserve">A person who breaches a condition of a licence is liable upon summary conviction to a maximum fine of £5,000 per breach. </w:t>
      </w:r>
    </w:p>
    <w:p w:rsidR="00223607" w:rsidP="00C57F6C" w:rsidRDefault="00223607" w14:paraId="4BA9F8B9" w14:textId="77777777">
      <w:pPr>
        <w:spacing w:after="0" w:line="240" w:lineRule="auto"/>
        <w:jc w:val="both"/>
        <w:rPr>
          <w:sz w:val="20"/>
          <w:szCs w:val="20"/>
        </w:rPr>
      </w:pPr>
    </w:p>
    <w:p w:rsidRPr="00223607" w:rsidR="00706FD7" w:rsidP="00C57F6C" w:rsidRDefault="00F33CEC" w14:paraId="0BF94F0B" w14:textId="36A0104F">
      <w:pPr>
        <w:spacing w:after="0" w:line="240" w:lineRule="auto"/>
        <w:jc w:val="both"/>
        <w:rPr>
          <w:sz w:val="20"/>
          <w:szCs w:val="20"/>
        </w:rPr>
      </w:pPr>
      <w:r w:rsidRPr="0BF28219" w:rsidR="00F33CEC">
        <w:rPr>
          <w:sz w:val="20"/>
          <w:szCs w:val="20"/>
        </w:rPr>
        <w:t xml:space="preserve">The </w:t>
      </w:r>
      <w:r w:rsidRPr="0BF28219" w:rsidR="59842BAC">
        <w:rPr>
          <w:sz w:val="20"/>
          <w:szCs w:val="20"/>
        </w:rPr>
        <w:t xml:space="preserve">Council </w:t>
      </w:r>
      <w:r w:rsidRPr="0BF28219" w:rsidR="00F33CEC">
        <w:rPr>
          <w:sz w:val="20"/>
          <w:szCs w:val="20"/>
        </w:rPr>
        <w:t xml:space="preserve">may, as an alternative to </w:t>
      </w:r>
      <w:r w:rsidRPr="0BF28219" w:rsidR="00F33CEC">
        <w:rPr>
          <w:sz w:val="20"/>
          <w:szCs w:val="20"/>
        </w:rPr>
        <w:t>initiating</w:t>
      </w:r>
      <w:r w:rsidRPr="0BF28219" w:rsidR="00F33CEC">
        <w:rPr>
          <w:sz w:val="20"/>
          <w:szCs w:val="20"/>
        </w:rPr>
        <w:t xml:space="preserve"> a prosecution, pursue one or more of a range of other enforcement actions including the imposition of a financial penalty of up to £30,000. </w:t>
      </w:r>
    </w:p>
    <w:p w:rsidR="00223607" w:rsidP="00C57F6C" w:rsidRDefault="00223607" w14:paraId="6D96A118" w14:textId="77777777">
      <w:pPr>
        <w:spacing w:after="0" w:line="240" w:lineRule="auto"/>
        <w:jc w:val="both"/>
        <w:rPr>
          <w:sz w:val="20"/>
          <w:szCs w:val="20"/>
        </w:rPr>
      </w:pPr>
    </w:p>
    <w:p w:rsidRPr="00223607" w:rsidR="00755FB3" w:rsidP="00C57F6C" w:rsidRDefault="00F33CEC" w14:paraId="21CC31BA" w14:textId="635CE2D0">
      <w:pPr>
        <w:spacing w:after="0" w:line="240" w:lineRule="auto"/>
        <w:jc w:val="both"/>
        <w:rPr>
          <w:sz w:val="20"/>
          <w:szCs w:val="20"/>
        </w:rPr>
      </w:pPr>
      <w:r w:rsidRPr="0BF28219" w:rsidR="00F33CEC">
        <w:rPr>
          <w:sz w:val="20"/>
          <w:szCs w:val="20"/>
        </w:rPr>
        <w:t xml:space="preserve">When an offence has been committed, an application may also be made by the </w:t>
      </w:r>
      <w:r w:rsidRPr="0BF28219" w:rsidR="67BC5C2C">
        <w:rPr>
          <w:sz w:val="20"/>
          <w:szCs w:val="20"/>
        </w:rPr>
        <w:t xml:space="preserve">Council </w:t>
      </w:r>
      <w:r w:rsidRPr="0BF28219" w:rsidR="00F33CEC">
        <w:rPr>
          <w:sz w:val="20"/>
          <w:szCs w:val="20"/>
        </w:rPr>
        <w:t xml:space="preserve">and/or tenant for a Rent Repayment Order to pay back up to 12 months’ rent, Housing Benefit, or Universal Credit. </w:t>
      </w:r>
    </w:p>
    <w:p w:rsidR="00223607" w:rsidP="00C57F6C" w:rsidRDefault="00223607" w14:paraId="44AC9EB5" w14:textId="77777777">
      <w:pPr>
        <w:spacing w:after="0" w:line="240" w:lineRule="auto"/>
        <w:jc w:val="both"/>
        <w:rPr>
          <w:sz w:val="20"/>
          <w:szCs w:val="20"/>
        </w:rPr>
      </w:pPr>
    </w:p>
    <w:p w:rsidRPr="00223607" w:rsidR="00755FB3" w:rsidP="00C57F6C" w:rsidRDefault="00F33CEC" w14:paraId="58AA2C2F" w14:textId="6287CA97">
      <w:pPr>
        <w:spacing w:after="0" w:line="240" w:lineRule="auto"/>
        <w:jc w:val="both"/>
        <w:rPr>
          <w:sz w:val="20"/>
          <w:szCs w:val="20"/>
        </w:rPr>
      </w:pPr>
      <w:r w:rsidRPr="0BF28219" w:rsidR="00F33CEC">
        <w:rPr>
          <w:sz w:val="20"/>
          <w:szCs w:val="20"/>
        </w:rPr>
        <w:t xml:space="preserve">The </w:t>
      </w:r>
      <w:r w:rsidRPr="0BF28219" w:rsidR="113DC067">
        <w:rPr>
          <w:sz w:val="20"/>
          <w:szCs w:val="20"/>
        </w:rPr>
        <w:t xml:space="preserve">Council </w:t>
      </w:r>
      <w:r w:rsidRPr="0BF28219" w:rsidR="00F33CEC">
        <w:rPr>
          <w:sz w:val="20"/>
          <w:szCs w:val="20"/>
        </w:rPr>
        <w:t>may also make an Interim Management Order whereby</w:t>
      </w:r>
      <w:r w:rsidRPr="0BF28219" w:rsidR="187E97EF">
        <w:rPr>
          <w:sz w:val="20"/>
          <w:szCs w:val="20"/>
        </w:rPr>
        <w:t xml:space="preserve"> it</w:t>
      </w:r>
      <w:r w:rsidRPr="0BF28219" w:rsidR="00F33CEC">
        <w:rPr>
          <w:sz w:val="20"/>
          <w:szCs w:val="20"/>
        </w:rPr>
        <w:t xml:space="preserve"> </w:t>
      </w:r>
      <w:r w:rsidRPr="0BF28219" w:rsidR="00F33CEC">
        <w:rPr>
          <w:sz w:val="20"/>
          <w:szCs w:val="20"/>
        </w:rPr>
        <w:t>would</w:t>
      </w:r>
      <w:r w:rsidRPr="0BF28219" w:rsidR="00F33CEC">
        <w:rPr>
          <w:sz w:val="20"/>
          <w:szCs w:val="20"/>
        </w:rPr>
        <w:t xml:space="preserve"> take management control of the unlicensed property. </w:t>
      </w:r>
    </w:p>
    <w:p w:rsidR="00223607" w:rsidP="00C57F6C" w:rsidRDefault="00223607" w14:paraId="25B8FCCC" w14:textId="77777777">
      <w:pPr>
        <w:spacing w:after="0" w:line="240" w:lineRule="auto"/>
        <w:jc w:val="both"/>
        <w:rPr>
          <w:sz w:val="20"/>
          <w:szCs w:val="20"/>
        </w:rPr>
      </w:pPr>
    </w:p>
    <w:p w:rsidRPr="00223607" w:rsidR="00755FB3" w:rsidP="00C57F6C" w:rsidRDefault="00F33CEC" w14:paraId="7A4BB7D0" w14:textId="6E424243">
      <w:pPr>
        <w:spacing w:after="0" w:line="240" w:lineRule="auto"/>
        <w:jc w:val="both"/>
        <w:rPr>
          <w:sz w:val="20"/>
          <w:szCs w:val="20"/>
        </w:rPr>
      </w:pPr>
      <w:r w:rsidRPr="0BF28219" w:rsidR="00F33CEC">
        <w:rPr>
          <w:sz w:val="20"/>
          <w:szCs w:val="20"/>
        </w:rPr>
        <w:t xml:space="preserve">The </w:t>
      </w:r>
      <w:r w:rsidRPr="0BF28219" w:rsidR="7085BE92">
        <w:rPr>
          <w:sz w:val="20"/>
          <w:szCs w:val="20"/>
        </w:rPr>
        <w:t xml:space="preserve">Council </w:t>
      </w:r>
      <w:r w:rsidRPr="0BF28219" w:rsidR="00F33CEC">
        <w:rPr>
          <w:sz w:val="20"/>
          <w:szCs w:val="20"/>
        </w:rPr>
        <w:t xml:space="preserve">will also add any relevant offences to the Greater London Authority Rogue Landlord and Agent Register unless it considers that there are valid reasons for not so adding, which will be considered on a case-by-case basis. </w:t>
      </w:r>
    </w:p>
    <w:p w:rsidR="00223607" w:rsidP="00C57F6C" w:rsidRDefault="00223607" w14:paraId="37DE5488" w14:textId="77777777">
      <w:pPr>
        <w:spacing w:after="0" w:line="240" w:lineRule="auto"/>
        <w:jc w:val="both"/>
        <w:rPr>
          <w:sz w:val="20"/>
          <w:szCs w:val="20"/>
        </w:rPr>
      </w:pPr>
    </w:p>
    <w:p w:rsidR="0BF28219" w:rsidP="0BF28219" w:rsidRDefault="0BF28219" w14:paraId="68001B95" w14:textId="7E1B05E5">
      <w:pPr>
        <w:spacing w:after="0" w:line="240" w:lineRule="auto"/>
        <w:jc w:val="both"/>
        <w:rPr>
          <w:sz w:val="20"/>
          <w:szCs w:val="20"/>
        </w:rPr>
      </w:pPr>
    </w:p>
    <w:p w:rsidRPr="00223607" w:rsidR="00251B11" w:rsidP="00C57F6C" w:rsidRDefault="00F33CEC" w14:paraId="47C3A79F" w14:textId="5B03B25C">
      <w:pPr>
        <w:spacing w:after="0" w:line="240" w:lineRule="auto"/>
        <w:jc w:val="both"/>
        <w:rPr>
          <w:sz w:val="20"/>
          <w:szCs w:val="20"/>
        </w:rPr>
      </w:pPr>
      <w:r w:rsidRPr="00223607">
        <w:rPr>
          <w:sz w:val="20"/>
          <w:szCs w:val="20"/>
        </w:rPr>
        <w:t xml:space="preserve">Signed </w:t>
      </w:r>
    </w:p>
    <w:p w:rsidRPr="00223607" w:rsidR="00251B11" w:rsidP="00C57F6C" w:rsidRDefault="00251B11" w14:paraId="4A815AF9" w14:textId="77777777">
      <w:pPr>
        <w:spacing w:after="0" w:line="240" w:lineRule="auto"/>
        <w:jc w:val="both"/>
        <w:rPr>
          <w:sz w:val="20"/>
          <w:szCs w:val="20"/>
        </w:rPr>
      </w:pPr>
    </w:p>
    <w:p w:rsidRPr="00223607" w:rsidR="002A7F2C" w:rsidP="0BF28219" w:rsidRDefault="00F33CEC" w14:paraId="72A1283B" w14:textId="1C653AED">
      <w:pPr>
        <w:pStyle w:val="Normal"/>
        <w:spacing w:after="0" w:line="240" w:lineRule="auto"/>
        <w:jc w:val="both"/>
        <w:rPr>
          <w:rFonts w:ascii="Aptos" w:hAnsi="Aptos" w:eastAsia="Aptos" w:cs="Aptos"/>
          <w:noProof w:val="0"/>
          <w:color w:val="000000" w:themeColor="text1" w:themeTint="FF" w:themeShade="FF"/>
          <w:sz w:val="22"/>
          <w:szCs w:val="22"/>
          <w:lang w:val="en-GB"/>
        </w:rPr>
      </w:pPr>
      <w:r w:rsidRPr="0BF28219" w:rsidR="5776A71D">
        <w:rPr>
          <w:rFonts w:ascii="Aptos" w:hAnsi="Aptos" w:eastAsia="Aptos" w:cs="Aptos"/>
          <w:noProof w:val="0"/>
          <w:color w:val="000000" w:themeColor="text1" w:themeTint="FF" w:themeShade="FF"/>
          <w:sz w:val="22"/>
          <w:szCs w:val="22"/>
          <w:lang w:val="en-GB"/>
        </w:rPr>
        <w:t xml:space="preserve">1 Section 55 of the Act defines which Houses in Multiple Occupation are required to be licensed under the Act. See also The Licensing of Houses.in Multiple Occupation (Prescribed Descriptions) (England) Order 2005 (SI 2006/371)  </w:t>
      </w:r>
    </w:p>
    <w:p w:rsidRPr="00223607" w:rsidR="002A7F2C" w:rsidP="0BF28219" w:rsidRDefault="00F33CEC" w14:paraId="04D677FE" w14:textId="0FE96DBD">
      <w:pPr>
        <w:pStyle w:val="Normal"/>
        <w:spacing w:after="0" w:line="240" w:lineRule="auto"/>
        <w:jc w:val="both"/>
      </w:pPr>
      <w:r w:rsidRPr="0BF28219" w:rsidR="5776A71D">
        <w:rPr>
          <w:rFonts w:ascii="Aptos" w:hAnsi="Aptos" w:eastAsia="Aptos" w:cs="Aptos"/>
          <w:noProof w:val="0"/>
          <w:color w:val="000000" w:themeColor="text1" w:themeTint="FF" w:themeShade="FF"/>
          <w:sz w:val="22"/>
          <w:szCs w:val="22"/>
          <w:lang w:val="en-GB"/>
        </w:rPr>
        <w:t xml:space="preserve">2 Schedule 14 Housing Act 2004 describes the buildings that are not HMOs other than for the purpose of Part 1 [HHSRS]  </w:t>
      </w:r>
    </w:p>
    <w:p w:rsidRPr="00223607" w:rsidR="002A7F2C" w:rsidP="0BF28219" w:rsidRDefault="00F33CEC" w14:paraId="5817E75B" w14:textId="3076AD70">
      <w:pPr>
        <w:pStyle w:val="Normal"/>
        <w:spacing w:after="0" w:line="240" w:lineRule="auto"/>
        <w:jc w:val="both"/>
      </w:pPr>
      <w:r w:rsidRPr="0BF28219" w:rsidR="5776A71D">
        <w:rPr>
          <w:rFonts w:ascii="Aptos" w:hAnsi="Aptos" w:eastAsia="Aptos" w:cs="Aptos"/>
          <w:noProof w:val="0"/>
          <w:color w:val="000000" w:themeColor="text1" w:themeTint="FF" w:themeShade="FF"/>
          <w:sz w:val="22"/>
          <w:szCs w:val="22"/>
          <w:lang w:val="en-GB"/>
        </w:rPr>
        <w:t xml:space="preserve">3 Section 232 of the Act and paragraph 11 of SI 373/200  </w:t>
      </w:r>
    </w:p>
    <w:p w:rsidRPr="00223607" w:rsidR="002A7F2C" w:rsidP="0BF28219" w:rsidRDefault="00F33CEC" w14:paraId="6B6AE545" w14:textId="58172F80">
      <w:pPr>
        <w:spacing w:after="0" w:line="240" w:lineRule="auto"/>
        <w:jc w:val="both"/>
        <w:rPr>
          <w:sz w:val="20"/>
          <w:szCs w:val="20"/>
        </w:rPr>
      </w:pPr>
      <w:r w:rsidR="4961A07C">
        <w:drawing>
          <wp:inline wp14:editId="771DBAE7" wp14:anchorId="47E3EF2E">
            <wp:extent cx="1394234" cy="414407"/>
            <wp:effectExtent l="0" t="0" r="0" b="0"/>
            <wp:docPr id="633487432"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633487432" name="Picture 633487432"/>
                    <pic:cNvPicPr/>
                  </pic:nvPicPr>
                  <pic:blipFill>
                    <a:blip xmlns:r="http://schemas.openxmlformats.org/officeDocument/2006/relationships" r:embed="rId519983819">
                      <a:extLst>
                        <a:ext uri="{28A0092B-C50C-407E-A947-70E740481C1C}">
                          <a14:useLocalDpi xmlns:a14="http://schemas.microsoft.com/office/drawing/2010/main"/>
                        </a:ext>
                      </a:extLst>
                    </a:blip>
                    <a:stretch>
                      <a:fillRect/>
                    </a:stretch>
                  </pic:blipFill>
                  <pic:spPr>
                    <a:xfrm rot="0">
                      <a:off x="0" y="0"/>
                      <a:ext cx="1394234" cy="414407"/>
                    </a:xfrm>
                    <a:prstGeom prst="rect">
                      <a:avLst/>
                    </a:prstGeom>
                  </pic:spPr>
                </pic:pic>
              </a:graphicData>
            </a:graphic>
          </wp:inline>
        </w:drawing>
      </w:r>
    </w:p>
    <w:p w:rsidRPr="00223607" w:rsidR="002A7F2C" w:rsidP="0BF28219" w:rsidRDefault="00F33CEC" w14:paraId="490777D9" w14:textId="39BAA3CE">
      <w:pPr>
        <w:spacing w:after="0" w:line="240" w:lineRule="auto"/>
        <w:jc w:val="both"/>
        <w:rPr>
          <w:sz w:val="20"/>
          <w:szCs w:val="20"/>
        </w:rPr>
      </w:pPr>
    </w:p>
    <w:p w:rsidRPr="00223607" w:rsidR="002A7F2C" w:rsidP="0BF28219" w:rsidRDefault="00F33CEC" w14:paraId="7D56A53F" w14:textId="09F4A2C7">
      <w:pPr>
        <w:spacing w:after="0" w:line="240" w:lineRule="auto"/>
        <w:jc w:val="both"/>
        <w:rPr>
          <w:sz w:val="20"/>
          <w:szCs w:val="20"/>
        </w:rPr>
      </w:pPr>
      <w:r w:rsidRPr="0BF28219" w:rsidR="4DF94EB9">
        <w:rPr>
          <w:sz w:val="20"/>
          <w:szCs w:val="20"/>
        </w:rPr>
        <w:t>Richard Webb</w:t>
      </w:r>
    </w:p>
    <w:p w:rsidRPr="00223607" w:rsidR="002A7F2C" w:rsidP="0BF28219" w:rsidRDefault="00F33CEC" w14:paraId="07759A5E" w14:textId="32F9F98C">
      <w:pPr>
        <w:spacing w:after="0" w:line="240" w:lineRule="auto"/>
        <w:jc w:val="both"/>
        <w:rPr>
          <w:sz w:val="20"/>
          <w:szCs w:val="20"/>
        </w:rPr>
      </w:pPr>
      <w:r w:rsidRPr="0BF28219" w:rsidR="4DF94EB9">
        <w:rPr>
          <w:sz w:val="20"/>
          <w:szCs w:val="20"/>
        </w:rPr>
        <w:t>Director of Community Safety and Enforcement</w:t>
      </w:r>
    </w:p>
    <w:p w:rsidRPr="00223607" w:rsidR="002A7F2C" w:rsidP="00C57F6C" w:rsidRDefault="00F33CEC" w14:paraId="397AB3E6" w14:textId="520E701D">
      <w:pPr>
        <w:spacing w:after="0" w:line="240" w:lineRule="auto"/>
        <w:jc w:val="both"/>
        <w:rPr>
          <w:sz w:val="20"/>
          <w:szCs w:val="20"/>
        </w:rPr>
      </w:pPr>
      <w:r w:rsidRPr="0BF28219" w:rsidR="4DF94EB9">
        <w:rPr>
          <w:sz w:val="20"/>
          <w:szCs w:val="20"/>
        </w:rPr>
        <w:t>Date: 27</w:t>
      </w:r>
      <w:r w:rsidRPr="0BF28219" w:rsidR="4DF94EB9">
        <w:rPr>
          <w:sz w:val="20"/>
          <w:szCs w:val="20"/>
          <w:vertAlign w:val="superscript"/>
        </w:rPr>
        <w:t>th</w:t>
      </w:r>
      <w:r w:rsidRPr="0BF28219" w:rsidR="4DF94EB9">
        <w:rPr>
          <w:sz w:val="20"/>
          <w:szCs w:val="20"/>
        </w:rPr>
        <w:t xml:space="preserve"> February 2026</w:t>
      </w:r>
    </w:p>
    <w:p w:rsidR="3828EF9E" w:rsidRDefault="3828EF9E" w14:paraId="773A5700" w14:textId="45C86F37">
      <w:r>
        <w:br w:type="page"/>
      </w:r>
    </w:p>
    <w:p w:rsidR="3828EF9E" w:rsidP="3828EF9E" w:rsidRDefault="3828EF9E" w14:paraId="27C1B1BF" w14:textId="5FE2A114">
      <w:pPr>
        <w:pStyle w:val="Normal"/>
        <w:spacing w:after="0" w:line="240" w:lineRule="auto"/>
        <w:jc w:val="center"/>
      </w:pPr>
    </w:p>
    <w:p w:rsidR="3828EF9E" w:rsidP="3828EF9E" w:rsidRDefault="3828EF9E" w14:paraId="5F8DDEB1" w14:textId="7FBD2C04">
      <w:pPr>
        <w:pStyle w:val="Normal"/>
        <w:spacing w:after="0" w:line="240" w:lineRule="auto"/>
        <w:jc w:val="center"/>
        <w:rPr>
          <w:b w:val="1"/>
          <w:bCs w:val="1"/>
        </w:rPr>
      </w:pPr>
    </w:p>
    <w:p w:rsidR="186802F1" w:rsidP="3828EF9E" w:rsidRDefault="186802F1" w14:paraId="3A275DF6" w14:textId="793B9D60">
      <w:pPr>
        <w:pStyle w:val="Normal"/>
        <w:spacing w:after="0" w:line="240" w:lineRule="auto"/>
        <w:jc w:val="both"/>
        <w:rPr>
          <w:rFonts w:ascii="Aptos" w:hAnsi="Aptos" w:eastAsia="Aptos" w:cs="Aptos"/>
          <w:b w:val="1"/>
          <w:bCs w:val="1"/>
          <w:noProof w:val="0"/>
          <w:sz w:val="24"/>
          <w:szCs w:val="24"/>
          <w:lang w:val="en-GB"/>
        </w:rPr>
      </w:pPr>
      <w:r w:rsidRPr="3828EF9E" w:rsidR="186802F1">
        <w:rPr>
          <w:rFonts w:ascii="Aptos" w:hAnsi="Aptos" w:eastAsia="Aptos" w:cs="Aptos"/>
          <w:b w:val="1"/>
          <w:bCs w:val="1"/>
          <w:noProof w:val="0"/>
          <w:sz w:val="24"/>
          <w:szCs w:val="24"/>
          <w:lang w:val="en-GB"/>
        </w:rPr>
        <w:t xml:space="preserve">Annex A: Map of the borough wide </w:t>
      </w:r>
      <w:r w:rsidRPr="3828EF9E" w:rsidR="186802F1">
        <w:rPr>
          <w:rFonts w:ascii="Aptos" w:hAnsi="Aptos" w:eastAsia="Aptos" w:cs="Aptos"/>
          <w:b w:val="1"/>
          <w:bCs w:val="1"/>
          <w:noProof w:val="0"/>
          <w:sz w:val="24"/>
          <w:szCs w:val="24"/>
          <w:lang w:val="en-GB"/>
        </w:rPr>
        <w:t>additional</w:t>
      </w:r>
      <w:r w:rsidRPr="3828EF9E" w:rsidR="186802F1">
        <w:rPr>
          <w:rFonts w:ascii="Aptos" w:hAnsi="Aptos" w:eastAsia="Aptos" w:cs="Aptos"/>
          <w:b w:val="1"/>
          <w:bCs w:val="1"/>
          <w:noProof w:val="0"/>
          <w:sz w:val="24"/>
          <w:szCs w:val="24"/>
          <w:lang w:val="en-GB"/>
        </w:rPr>
        <w:t xml:space="preserve"> licensing designation showing the </w:t>
      </w:r>
      <w:r>
        <w:tab/>
      </w:r>
      <w:r>
        <w:tab/>
      </w:r>
      <w:r w:rsidRPr="3828EF9E" w:rsidR="186802F1">
        <w:rPr>
          <w:rFonts w:ascii="Aptos" w:hAnsi="Aptos" w:eastAsia="Aptos" w:cs="Aptos"/>
          <w:b w:val="1"/>
          <w:bCs w:val="1"/>
          <w:noProof w:val="0"/>
          <w:sz w:val="24"/>
          <w:szCs w:val="24"/>
          <w:lang w:val="en-GB"/>
        </w:rPr>
        <w:t xml:space="preserve">      boundary delineated in red</w:t>
      </w:r>
    </w:p>
    <w:p w:rsidR="3828EF9E" w:rsidP="3828EF9E" w:rsidRDefault="3828EF9E" w14:paraId="773128FD" w14:textId="2E6F7CBE">
      <w:pPr>
        <w:pStyle w:val="Normal"/>
        <w:spacing w:after="0" w:line="240" w:lineRule="auto"/>
        <w:jc w:val="center"/>
      </w:pPr>
    </w:p>
    <w:p w:rsidR="3828EF9E" w:rsidP="3828EF9E" w:rsidRDefault="3828EF9E" w14:paraId="239F327F" w14:textId="4FBDE41F">
      <w:pPr>
        <w:pStyle w:val="Normal"/>
        <w:spacing w:after="0" w:line="240" w:lineRule="auto"/>
        <w:jc w:val="center"/>
      </w:pPr>
    </w:p>
    <w:p w:rsidR="14B5A497" w:rsidP="3828EF9E" w:rsidRDefault="14B5A497" w14:paraId="7FBA4137" w14:textId="1C7FEE63">
      <w:pPr>
        <w:pStyle w:val="Normal"/>
        <w:spacing w:after="0" w:line="240" w:lineRule="auto"/>
        <w:jc w:val="center"/>
      </w:pPr>
      <w:r w:rsidR="14B5A497">
        <w:drawing>
          <wp:inline wp14:editId="1535BF5B" wp14:anchorId="0AA80BE6">
            <wp:extent cx="4048125" cy="5724525"/>
            <wp:effectExtent l="0" t="0" r="0" b="0"/>
            <wp:docPr id="618480004"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618480004" name="Picture 618480004"/>
                    <pic:cNvPicPr/>
                  </pic:nvPicPr>
                  <pic:blipFill>
                    <a:blip xmlns:r="http://schemas.openxmlformats.org/officeDocument/2006/relationships" r:embed="rId1199018669">
                      <a:extLst>
                        <a:ext uri="{28A0092B-C50C-407E-A947-70E740481C1C}">
                          <a14:useLocalDpi xmlns:a14="http://schemas.microsoft.com/office/drawing/2010/main"/>
                        </a:ext>
                      </a:extLst>
                    </a:blip>
                    <a:stretch>
                      <a:fillRect/>
                    </a:stretch>
                  </pic:blipFill>
                  <pic:spPr>
                    <a:xfrm>
                      <a:off x="0" y="0"/>
                      <a:ext cx="4048125" cy="5724525"/>
                    </a:xfrm>
                    <a:prstGeom prst="rect">
                      <a:avLst/>
                    </a:prstGeom>
                  </pic:spPr>
                </pic:pic>
              </a:graphicData>
            </a:graphic>
          </wp:inline>
        </w:drawing>
      </w:r>
    </w:p>
    <w:sectPr w:rsidRPr="00223607" w:rsidR="002A7F2C">
      <w:pgSz w:w="11906" w:h="16838" w:orient="portrait"/>
      <w:pgMar w:top="1440" w:right="1440" w:bottom="1440" w:left="1440" w:header="708" w:footer="708" w:gutter="0"/>
      <w:cols w:space="708"/>
      <w:docGrid w:linePitch="360"/>
      <w:headerReference w:type="default" r:id="Redf561bf3d524263"/>
      <w:footerReference w:type="default" r:id="R7f44f9202d0447e6"/>
      <w:titlePg w:val="1"/>
      <w:headerReference w:type="first" r:id="Rf759d0baf46f4d52"/>
      <w:footerReference w:type="first" r:id="R442113adbd5047ba"/>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7406D" w:rsidP="0067406D" w:rsidRDefault="0067406D" w14:paraId="702EF07F" w14:textId="77777777">
      <w:pPr>
        <w:spacing w:after="0" w:line="240" w:lineRule="auto"/>
      </w:pPr>
      <w:r>
        <w:separator/>
      </w:r>
    </w:p>
  </w:endnote>
  <w:endnote w:type="continuationSeparator" w:id="0">
    <w:p w:rsidR="0067406D" w:rsidP="0067406D" w:rsidRDefault="0067406D" w14:paraId="51BC9350"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xml><?xml version="1.0" encoding="utf-8"?>
<w:ftr xmlns:w14="http://schemas.microsoft.com/office/word/2010/wordml" xmlns:w="http://schemas.openxmlformats.org/wordprocessingml/2006/main">
  <w:tbl>
    <w:tblPr>
      <w:tblStyle w:val="TableNormal"/>
      <w:bidiVisual w:val="0"/>
      <w:tblW w:w="9015" w:type="dxa"/>
      <w:tblLook w:val="06A0" w:firstRow="1" w:lastRow="0" w:firstColumn="1" w:lastColumn="0" w:noHBand="1" w:noVBand="1"/>
    </w:tblPr>
    <w:tblGrid>
      <w:gridCol w:w="5655"/>
      <w:gridCol w:w="355"/>
      <w:gridCol w:w="3005"/>
    </w:tblGrid>
    <w:tr w:rsidR="3828EF9E" w:rsidTr="0BF28219" w14:paraId="08C2C1DF">
      <w:trPr>
        <w:trHeight w:val="300"/>
      </w:trPr>
      <w:tc>
        <w:tcPr>
          <w:tcW w:w="5655" w:type="dxa"/>
          <w:tcMar/>
        </w:tcPr>
        <w:p w:rsidR="3828EF9E" w:rsidP="0BF28219" w:rsidRDefault="3828EF9E" w14:paraId="6A53B75D" w14:textId="2546B19E">
          <w:pPr>
            <w:pStyle w:val="Header"/>
            <w:bidi w:val="0"/>
            <w:ind w:left="-115"/>
            <w:jc w:val="left"/>
            <w:rPr>
              <w:sz w:val="16"/>
              <w:szCs w:val="16"/>
            </w:rPr>
          </w:pPr>
          <w:r w:rsidRPr="0BF28219" w:rsidR="0BF28219">
            <w:rPr>
              <w:sz w:val="16"/>
              <w:szCs w:val="16"/>
            </w:rPr>
            <w:t xml:space="preserve">1 Section 55 of the Act defines which Houses in Multiple Occupation </w:t>
          </w:r>
          <w:r w:rsidRPr="0BF28219" w:rsidR="0BF28219">
            <w:rPr>
              <w:sz w:val="16"/>
              <w:szCs w:val="16"/>
            </w:rPr>
            <w:t>are required to</w:t>
          </w:r>
          <w:r w:rsidRPr="0BF28219" w:rsidR="0BF28219">
            <w:rPr>
              <w:sz w:val="16"/>
              <w:szCs w:val="16"/>
            </w:rPr>
            <w:t xml:space="preserve"> be licensed under the Act. See also The Licensing of Houses.in Multiple Occupation (Prescribed Descriptions) (England) Order 2005 (SI 2006/371)  </w:t>
          </w:r>
        </w:p>
        <w:p w:rsidR="3828EF9E" w:rsidP="0BF28219" w:rsidRDefault="3828EF9E" w14:paraId="0D2813BD" w14:textId="2CE36F67">
          <w:pPr>
            <w:pStyle w:val="Header"/>
            <w:bidi w:val="0"/>
            <w:ind w:left="-115"/>
            <w:jc w:val="left"/>
            <w:rPr>
              <w:sz w:val="16"/>
              <w:szCs w:val="16"/>
            </w:rPr>
          </w:pPr>
          <w:r w:rsidRPr="0BF28219" w:rsidR="0BF28219">
            <w:rPr>
              <w:sz w:val="16"/>
              <w:szCs w:val="16"/>
            </w:rPr>
            <w:t xml:space="preserve">2 Schedule 14 Housing Act 2004 describes the buildings that are not HMOs other than for the purpose of Part 1 [HHSRS]  </w:t>
          </w:r>
        </w:p>
        <w:p w:rsidR="3828EF9E" w:rsidP="0BF28219" w:rsidRDefault="3828EF9E" w14:paraId="5F75C54D" w14:textId="7E214A3F">
          <w:pPr>
            <w:pStyle w:val="Header"/>
            <w:bidi w:val="0"/>
            <w:ind w:left="-115"/>
            <w:jc w:val="left"/>
            <w:rPr>
              <w:sz w:val="16"/>
              <w:szCs w:val="16"/>
            </w:rPr>
          </w:pPr>
          <w:r w:rsidRPr="0BF28219" w:rsidR="0BF28219">
            <w:rPr>
              <w:sz w:val="16"/>
              <w:szCs w:val="16"/>
            </w:rPr>
            <w:t xml:space="preserve">3 Section 232 of the Act and paragraph 11 of SI 373/200  </w:t>
          </w:r>
        </w:p>
      </w:tc>
      <w:tc>
        <w:tcPr>
          <w:tcW w:w="355" w:type="dxa"/>
          <w:tcMar/>
        </w:tcPr>
        <w:p w:rsidR="3828EF9E" w:rsidP="3828EF9E" w:rsidRDefault="3828EF9E" w14:paraId="3BF11D48" w14:textId="78FA96C3">
          <w:pPr>
            <w:pStyle w:val="Header"/>
            <w:bidi w:val="0"/>
            <w:jc w:val="center"/>
          </w:pPr>
        </w:p>
      </w:tc>
      <w:tc>
        <w:tcPr>
          <w:tcW w:w="3005" w:type="dxa"/>
          <w:tcMar/>
        </w:tcPr>
        <w:p w:rsidR="3828EF9E" w:rsidP="3828EF9E" w:rsidRDefault="3828EF9E" w14:paraId="16E1B56C" w14:textId="759A0272">
          <w:pPr>
            <w:pStyle w:val="Header"/>
            <w:bidi w:val="0"/>
            <w:ind w:right="-115"/>
            <w:jc w:val="right"/>
          </w:pPr>
        </w:p>
      </w:tc>
    </w:tr>
  </w:tbl>
  <w:p w:rsidR="3828EF9E" w:rsidP="3828EF9E" w:rsidRDefault="3828EF9E" w14:paraId="3DB71F90" w14:textId="1A55A335">
    <w:pPr>
      <w:pStyle w:val="Footer"/>
      <w:bidi w:val="0"/>
    </w:pPr>
  </w:p>
</w:ftr>
</file>

<file path=word/footer2.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005"/>
      <w:gridCol w:w="3005"/>
      <w:gridCol w:w="3005"/>
    </w:tblGrid>
    <w:tr w:rsidR="0BF28219" w:rsidTr="0BF28219" w14:paraId="01930A5C">
      <w:trPr>
        <w:trHeight w:val="300"/>
      </w:trPr>
      <w:tc>
        <w:tcPr>
          <w:tcW w:w="3005" w:type="dxa"/>
          <w:tcMar/>
        </w:tcPr>
        <w:p w:rsidR="0BF28219" w:rsidP="0BF28219" w:rsidRDefault="0BF28219" w14:paraId="3F970923" w14:textId="0E41B861">
          <w:pPr>
            <w:pStyle w:val="Header"/>
            <w:bidi w:val="0"/>
            <w:ind w:left="-115"/>
            <w:jc w:val="left"/>
          </w:pPr>
        </w:p>
      </w:tc>
      <w:tc>
        <w:tcPr>
          <w:tcW w:w="3005" w:type="dxa"/>
          <w:tcMar/>
        </w:tcPr>
        <w:p w:rsidR="0BF28219" w:rsidP="0BF28219" w:rsidRDefault="0BF28219" w14:paraId="3CF4F28B" w14:textId="2EB58D3D">
          <w:pPr>
            <w:pStyle w:val="Header"/>
            <w:bidi w:val="0"/>
            <w:jc w:val="center"/>
          </w:pPr>
        </w:p>
      </w:tc>
      <w:tc>
        <w:tcPr>
          <w:tcW w:w="3005" w:type="dxa"/>
          <w:tcMar/>
        </w:tcPr>
        <w:p w:rsidR="0BF28219" w:rsidP="0BF28219" w:rsidRDefault="0BF28219" w14:paraId="6C927E3A" w14:textId="09E1C628">
          <w:pPr>
            <w:pStyle w:val="Header"/>
            <w:bidi w:val="0"/>
            <w:ind w:right="-115"/>
            <w:jc w:val="right"/>
          </w:pPr>
        </w:p>
      </w:tc>
    </w:tr>
  </w:tbl>
  <w:p w:rsidR="0BF28219" w:rsidP="0BF28219" w:rsidRDefault="0BF28219" w14:paraId="4124DF3F" w14:textId="7DCFAD8B">
    <w:pPr>
      <w:pStyle w:val="Footer"/>
      <w:bidi w:val="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7406D" w:rsidP="0067406D" w:rsidRDefault="0067406D" w14:paraId="624F578E" w14:textId="77777777">
      <w:pPr>
        <w:spacing w:after="0" w:line="240" w:lineRule="auto"/>
      </w:pPr>
      <w:r>
        <w:separator/>
      </w:r>
    </w:p>
  </w:footnote>
  <w:footnote w:type="continuationSeparator" w:id="0">
    <w:p w:rsidR="0067406D" w:rsidP="0067406D" w:rsidRDefault="0067406D" w14:paraId="3CE6F96F" w14:textId="77777777">
      <w:pPr>
        <w:spacing w:after="0" w:line="240" w:lineRule="auto"/>
      </w:pPr>
      <w:r>
        <w:continuationSeparator/>
      </w:r>
    </w:p>
  </w:footnote>
  <w:footnote w:id="1">
    <w:p w:rsidRPr="00C57F6C" w:rsidR="0067406D" w:rsidRDefault="0067406D" w14:paraId="4AF8FCB0" w14:textId="0BA2AFF1">
      <w:pPr>
        <w:pStyle w:val="FootnoteText"/>
        <w:rPr>
          <w:sz w:val="16"/>
        </w:rPr>
      </w:pPr>
    </w:p>
  </w:footnote>
  <w:footnote w:id="2">
    <w:p w:rsidR="0067406D" w:rsidRDefault="0067406D" w14:paraId="2D9E933D" w14:textId="49B4BF2E">
      <w:pPr>
        <w:pStyle w:val="FootnoteText"/>
      </w:pPr>
    </w:p>
  </w:footnote>
</w:footnotes>
</file>

<file path=word/header.xml><?xml version="1.0" encoding="utf-8"?>
<w:hdr xmlns:w14="http://schemas.microsoft.com/office/word/2010/wordml" xmlns:wp="http://schemas.openxmlformats.org/drawingml/2006/wordprocessingDrawing" xmlns:wp14="http://schemas.microsoft.com/office/word/2010/wordprocessingDrawing" xmlns:a="http://schemas.openxmlformats.org/drawingml/2006/main" xmlns:pic="http://schemas.openxmlformats.org/drawingml/2006/picture" xmlns:r="http://schemas.openxmlformats.org/officeDocument/2006/relationships" xmlns:w="http://schemas.openxmlformats.org/wordprocessingml/2006/main">
  <w:tbl>
    <w:tblPr>
      <w:tblStyle w:val="TableNormal"/>
      <w:bidiVisual w:val="0"/>
      <w:tblW w:w="0" w:type="auto"/>
      <w:tblLook w:val="06A0" w:firstRow="1" w:lastRow="0" w:firstColumn="1" w:lastColumn="0" w:noHBand="1" w:noVBand="1"/>
    </w:tblPr>
    <w:tblGrid>
      <w:gridCol w:w="3645"/>
      <w:gridCol w:w="2685"/>
      <w:gridCol w:w="2685"/>
    </w:tblGrid>
    <w:tr w:rsidR="3828EF9E" w:rsidTr="3828EF9E" w14:paraId="3A1DB8DF">
      <w:trPr>
        <w:trHeight w:val="300"/>
      </w:trPr>
      <w:tc>
        <w:tcPr>
          <w:tcW w:w="3645" w:type="dxa"/>
          <w:tcMar/>
        </w:tcPr>
        <w:p w:rsidR="3828EF9E" w:rsidP="3828EF9E" w:rsidRDefault="3828EF9E" w14:paraId="293C4BA7" w14:textId="01AF2CB9">
          <w:pPr>
            <w:pStyle w:val="Header"/>
            <w:ind w:left="-115"/>
            <w:jc w:val="left"/>
            <w:rPr>
              <w:b w:val="1"/>
              <w:bCs w:val="1"/>
              <w:sz w:val="20"/>
              <w:szCs w:val="20"/>
            </w:rPr>
          </w:pPr>
          <w:r w:rsidR="3828EF9E">
            <w:drawing>
              <wp:inline wp14:editId="26A132AF" wp14:anchorId="290861BC">
                <wp:extent cx="2170430" cy="1322070"/>
                <wp:effectExtent l="19050" t="0" r="1270" b="0"/>
                <wp:docPr id="2011382722" name="Picture 5" descr="LH_logo-1"/>
                <wp:cNvGraphicFramePr>
                  <a:graphicFrameLocks noChangeAspect="1"/>
                </wp:cNvGraphicFramePr>
                <a:graphic>
                  <a:graphicData xmlns:a="http://schemas.openxmlformats.org/drawingml/2006/main" uri="http://schemas.openxmlformats.org/drawingml/2006/picture">
                    <pic:pic xmlns:pic="http://schemas.openxmlformats.org/drawingml/2006/picture">
                      <pic:nvPicPr xmlns:pic="http://schemas.openxmlformats.org/drawingml/2006/picture">
                        <pic:cNvPr xmlns:pic="http://schemas.openxmlformats.org/drawingml/2006/picture" id="0" name="Picture 5" descr="LH_logo-1"/>
                        <pic:cNvPicPr xmlns:pic="http://schemas.openxmlformats.org/drawingml/2006/picture">
                          <a:picLocks xmlns:a="http://schemas.openxmlformats.org/drawingml/2006/main" noChangeAspect="1" noChangeArrowheads="1"/>
                        </pic:cNvPicPr>
                      </pic:nvPicPr>
                      <pic:blipFill xmlns:pic="http://schemas.openxmlformats.org/drawingml/2006/picture">
                        <a:blip xmlns:r="http://schemas.openxmlformats.org/officeDocument/2006/relationships" xmlns:a="http://schemas.openxmlformats.org/drawingml/2006/main" r:embed="rId6"/>
                        <a:srcRect xmlns:a="http://schemas.openxmlformats.org/drawingml/2006/main"/>
                        <a:stretch xmlns:a="http://schemas.openxmlformats.org/drawingml/2006/main">
                          <a:fillRect xmlns:a="http://schemas.openxmlformats.org/drawingml/2006/main"/>
                        </a:stretch>
                      </pic:blipFill>
                      <pic:spPr xmlns:pic="http://schemas.openxmlformats.org/drawingml/2006/picture" bwMode="auto">
                        <a:xfrm xmlns:a="http://schemas.openxmlformats.org/drawingml/2006/main">
                          <a:off xmlns:a="http://schemas.openxmlformats.org/drawingml/2006/main" x="0" y="0"/>
                          <a:ext xmlns:a="http://schemas.openxmlformats.org/drawingml/2006/main" cx="2170430" cy="1322070"/>
                        </a:xfrm>
                        <a:prstGeom xmlns:a="http://schemas.openxmlformats.org/drawingml/2006/main" prst="rect">
                          <a:avLst xmlns:a="http://schemas.openxmlformats.org/drawingml/2006/main"/>
                        </a:prstGeom>
                        <a:noFill xmlns:a="http://schemas.openxmlformats.org/drawingml/2006/main"/>
                        <a:ln xmlns:a="http://schemas.openxmlformats.org/drawingml/2006/main" w="9525">
                          <a:noFill xmlns:a="http://schemas.openxmlformats.org/drawingml/2006/main"/>
                          <a:miter xmlns:a="http://schemas.openxmlformats.org/drawingml/2006/main" lim="800000"/>
                          <a:headEnd xmlns:a="http://schemas.openxmlformats.org/drawingml/2006/main"/>
                          <a:tailEnd xmlns:a="http://schemas.openxmlformats.org/drawingml/2006/main"/>
                        </a:ln>
                      </pic:spPr>
                    </pic:pic>
                  </a:graphicData>
                </a:graphic>
              </wp:inline>
            </w:drawing>
          </w:r>
        </w:p>
      </w:tc>
      <w:tc>
        <w:tcPr>
          <w:tcW w:w="2685" w:type="dxa"/>
          <w:tcMar/>
        </w:tcPr>
        <w:p w:rsidR="3828EF9E" w:rsidP="3828EF9E" w:rsidRDefault="3828EF9E" w14:paraId="2AF0D311" w14:textId="1033C959">
          <w:pPr>
            <w:pStyle w:val="Header"/>
            <w:bidi w:val="0"/>
            <w:jc w:val="center"/>
          </w:pPr>
        </w:p>
      </w:tc>
      <w:tc>
        <w:tcPr>
          <w:tcW w:w="2685" w:type="dxa"/>
          <w:tcMar/>
        </w:tcPr>
        <w:p w:rsidR="3828EF9E" w:rsidP="3828EF9E" w:rsidRDefault="3828EF9E" w14:paraId="1D044A14" w14:textId="02CAA92B">
          <w:pPr>
            <w:pStyle w:val="Header"/>
            <w:bidi w:val="0"/>
            <w:ind w:right="-115"/>
            <w:jc w:val="right"/>
          </w:pPr>
        </w:p>
      </w:tc>
    </w:tr>
  </w:tbl>
  <w:p w:rsidR="3828EF9E" w:rsidP="3828EF9E" w:rsidRDefault="3828EF9E" w14:paraId="2177709F" w14:textId="2A0B98CE">
    <w:pPr>
      <w:pStyle w:val="Header"/>
      <w:bidi w:val="0"/>
    </w:pPr>
  </w:p>
</w:hdr>
</file>

<file path=word/header2.xml><?xml version="1.0" encoding="utf-8"?>
<w:hd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005"/>
      <w:gridCol w:w="3005"/>
      <w:gridCol w:w="3005"/>
    </w:tblGrid>
    <w:tr w:rsidR="0BF28219" w:rsidTr="0BF28219" w14:paraId="72C87ACA">
      <w:trPr>
        <w:trHeight w:val="300"/>
      </w:trPr>
      <w:tc>
        <w:tcPr>
          <w:tcW w:w="3005" w:type="dxa"/>
          <w:tcMar/>
        </w:tcPr>
        <w:p w:rsidR="0BF28219" w:rsidP="0BF28219" w:rsidRDefault="0BF28219" w14:paraId="16D713BE" w14:textId="367C5D9D">
          <w:pPr>
            <w:pStyle w:val="Header"/>
            <w:bidi w:val="0"/>
            <w:ind w:left="-115"/>
            <w:jc w:val="left"/>
          </w:pPr>
        </w:p>
      </w:tc>
      <w:tc>
        <w:tcPr>
          <w:tcW w:w="3005" w:type="dxa"/>
          <w:tcMar/>
        </w:tcPr>
        <w:p w:rsidR="0BF28219" w:rsidP="0BF28219" w:rsidRDefault="0BF28219" w14:paraId="24215C04" w14:textId="0A956989">
          <w:pPr>
            <w:pStyle w:val="Header"/>
            <w:bidi w:val="0"/>
            <w:jc w:val="center"/>
          </w:pPr>
        </w:p>
      </w:tc>
      <w:tc>
        <w:tcPr>
          <w:tcW w:w="3005" w:type="dxa"/>
          <w:tcMar/>
        </w:tcPr>
        <w:p w:rsidR="0BF28219" w:rsidP="0BF28219" w:rsidRDefault="0BF28219" w14:paraId="7A6355EB" w14:textId="5C744FED">
          <w:pPr>
            <w:pStyle w:val="Header"/>
            <w:bidi w:val="0"/>
            <w:ind w:right="-115"/>
            <w:jc w:val="right"/>
          </w:pPr>
        </w:p>
      </w:tc>
    </w:tr>
  </w:tbl>
  <w:p w:rsidR="0BF28219" w:rsidP="0BF28219" w:rsidRDefault="0BF28219" w14:paraId="6DA93053" w14:textId="5B5E1703">
    <w:pPr>
      <w:pStyle w:val="Header"/>
      <w:bidi w:val="0"/>
    </w:pPr>
  </w:p>
</w:hdr>
</file>

<file path=word/intelligence2.xml><?xml version="1.0" encoding="utf-8"?>
<int2:intelligence xmlns:int2="http://schemas.microsoft.com/office/intelligence/2020/intelligence">
  <int2:observations>
    <int2:textHash int2:hashCode="aBOFrdIE+DfqLD" int2:id="LqW6w2RL">
      <int2:state int2:type="gram" int2:value="Rejected"/>
    </int2:textHash>
    <int2:textHash int2:hashCode="Cp2K1uUv244ICs" int2:id="Ol57ekin">
      <int2:state int2:type="spell" int2:value="Rejected"/>
    </int2:textHash>
    <int2:textHash int2:hashCode="9Bdw1Wsw5tISUn" int2:id="G9MPmkZT">
      <int2:state int2:type="spell" int2:value="Rejected"/>
    </int2:textHash>
  </int2:observations>
  <int2:intelligenceSettings/>
</int2: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CEC"/>
    <w:rsid w:val="000C2EB9"/>
    <w:rsid w:val="00223607"/>
    <w:rsid w:val="00251B11"/>
    <w:rsid w:val="002A7F2C"/>
    <w:rsid w:val="0067406D"/>
    <w:rsid w:val="00706FD7"/>
    <w:rsid w:val="00755FB3"/>
    <w:rsid w:val="00940AC7"/>
    <w:rsid w:val="00C57F6C"/>
    <w:rsid w:val="00D67B64"/>
    <w:rsid w:val="00F33CEC"/>
    <w:rsid w:val="00F65AC8"/>
    <w:rsid w:val="01583922"/>
    <w:rsid w:val="0265A2C2"/>
    <w:rsid w:val="02BA599B"/>
    <w:rsid w:val="0417A608"/>
    <w:rsid w:val="05994842"/>
    <w:rsid w:val="05A2FE5B"/>
    <w:rsid w:val="0684B54D"/>
    <w:rsid w:val="0702B3A3"/>
    <w:rsid w:val="0A32DBE4"/>
    <w:rsid w:val="0A665CCC"/>
    <w:rsid w:val="0A665CCC"/>
    <w:rsid w:val="0AA431F9"/>
    <w:rsid w:val="0BF28219"/>
    <w:rsid w:val="112610AD"/>
    <w:rsid w:val="113DC067"/>
    <w:rsid w:val="12D61478"/>
    <w:rsid w:val="14B5A497"/>
    <w:rsid w:val="15121538"/>
    <w:rsid w:val="1549EBA6"/>
    <w:rsid w:val="1661ECF8"/>
    <w:rsid w:val="176AE81A"/>
    <w:rsid w:val="186802F1"/>
    <w:rsid w:val="187E97EF"/>
    <w:rsid w:val="199C03CE"/>
    <w:rsid w:val="19DDD862"/>
    <w:rsid w:val="1A2ED0D9"/>
    <w:rsid w:val="1C57039E"/>
    <w:rsid w:val="1E49DDDB"/>
    <w:rsid w:val="1F1F130E"/>
    <w:rsid w:val="20307DB4"/>
    <w:rsid w:val="207ED006"/>
    <w:rsid w:val="20A7ED36"/>
    <w:rsid w:val="20F393DE"/>
    <w:rsid w:val="23C0AB23"/>
    <w:rsid w:val="241C35E0"/>
    <w:rsid w:val="26403085"/>
    <w:rsid w:val="28EC5DA2"/>
    <w:rsid w:val="29072BAC"/>
    <w:rsid w:val="2C656442"/>
    <w:rsid w:val="2CAB9CEF"/>
    <w:rsid w:val="2CE3AEEC"/>
    <w:rsid w:val="2D2DE9A1"/>
    <w:rsid w:val="2D5B94BB"/>
    <w:rsid w:val="2D764D48"/>
    <w:rsid w:val="2DC3421A"/>
    <w:rsid w:val="2E2BDD89"/>
    <w:rsid w:val="2E6853B2"/>
    <w:rsid w:val="2F11E271"/>
    <w:rsid w:val="2F8560AA"/>
    <w:rsid w:val="30451593"/>
    <w:rsid w:val="31425A2B"/>
    <w:rsid w:val="321976F2"/>
    <w:rsid w:val="32F24797"/>
    <w:rsid w:val="34132670"/>
    <w:rsid w:val="347D6111"/>
    <w:rsid w:val="355EF385"/>
    <w:rsid w:val="37D6193B"/>
    <w:rsid w:val="3828EF9E"/>
    <w:rsid w:val="3838AE12"/>
    <w:rsid w:val="38501DE5"/>
    <w:rsid w:val="3A00C470"/>
    <w:rsid w:val="3A4E1D69"/>
    <w:rsid w:val="3A7A64CE"/>
    <w:rsid w:val="3AAAB007"/>
    <w:rsid w:val="3B5C5DB3"/>
    <w:rsid w:val="3BE18648"/>
    <w:rsid w:val="3C4ABE9E"/>
    <w:rsid w:val="3F76E207"/>
    <w:rsid w:val="40B54255"/>
    <w:rsid w:val="40B54255"/>
    <w:rsid w:val="41E25934"/>
    <w:rsid w:val="430FF4FB"/>
    <w:rsid w:val="43678394"/>
    <w:rsid w:val="44BEB13A"/>
    <w:rsid w:val="462303B1"/>
    <w:rsid w:val="4637CD63"/>
    <w:rsid w:val="47B1AB88"/>
    <w:rsid w:val="4961A07C"/>
    <w:rsid w:val="4A158825"/>
    <w:rsid w:val="4AA3069D"/>
    <w:rsid w:val="4AAB6D23"/>
    <w:rsid w:val="4AEA68C6"/>
    <w:rsid w:val="4DF94EB9"/>
    <w:rsid w:val="4E18E7EE"/>
    <w:rsid w:val="4E9F91E8"/>
    <w:rsid w:val="50D5DF19"/>
    <w:rsid w:val="510336BF"/>
    <w:rsid w:val="5263E781"/>
    <w:rsid w:val="52F607FB"/>
    <w:rsid w:val="5387F116"/>
    <w:rsid w:val="53B5A5FF"/>
    <w:rsid w:val="542503C6"/>
    <w:rsid w:val="5580F38D"/>
    <w:rsid w:val="56C43BD5"/>
    <w:rsid w:val="574156C2"/>
    <w:rsid w:val="57547002"/>
    <w:rsid w:val="5776A71D"/>
    <w:rsid w:val="583E3416"/>
    <w:rsid w:val="58B5D149"/>
    <w:rsid w:val="58CF66B6"/>
    <w:rsid w:val="59842BAC"/>
    <w:rsid w:val="5991F80F"/>
    <w:rsid w:val="5C26428B"/>
    <w:rsid w:val="5CEEF0EC"/>
    <w:rsid w:val="5F39EE62"/>
    <w:rsid w:val="6185F33A"/>
    <w:rsid w:val="62530641"/>
    <w:rsid w:val="659BF04B"/>
    <w:rsid w:val="662A01B5"/>
    <w:rsid w:val="66322085"/>
    <w:rsid w:val="66CAB96B"/>
    <w:rsid w:val="67BC5C2C"/>
    <w:rsid w:val="6810373A"/>
    <w:rsid w:val="686FC71D"/>
    <w:rsid w:val="6877EB71"/>
    <w:rsid w:val="68E4C08F"/>
    <w:rsid w:val="6B5C8A55"/>
    <w:rsid w:val="6B7F840F"/>
    <w:rsid w:val="6F1E6857"/>
    <w:rsid w:val="7085BE92"/>
    <w:rsid w:val="7131FE7A"/>
    <w:rsid w:val="73AEAFD8"/>
    <w:rsid w:val="73F168D1"/>
    <w:rsid w:val="75B152A1"/>
    <w:rsid w:val="778B5556"/>
    <w:rsid w:val="778DB89F"/>
    <w:rsid w:val="79F845CE"/>
    <w:rsid w:val="79F845CE"/>
    <w:rsid w:val="7A5AE392"/>
    <w:rsid w:val="7A8A73C7"/>
    <w:rsid w:val="7CFCFB4E"/>
    <w:rsid w:val="7DA0A7AC"/>
    <w:rsid w:val="7E57CC67"/>
    <w:rsid w:val="7EEFC6EE"/>
    <w:rsid w:val="7FD433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9F955A"/>
  <w15:chartTrackingRefBased/>
  <w15:docId w15:val="{7AE3240C-15FD-4E8B-B3CC-1BA58F577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F33CEC"/>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33CEC"/>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33CE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33CE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33CE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33CE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33CE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33CE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33CEC"/>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F33CEC"/>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F33CEC"/>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F33CEC"/>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F33CEC"/>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F33CEC"/>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F33CEC"/>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F33CEC"/>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F33CEC"/>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F33CEC"/>
    <w:rPr>
      <w:rFonts w:eastAsiaTheme="majorEastAsia" w:cstheme="majorBidi"/>
      <w:color w:val="272727" w:themeColor="text1" w:themeTint="D8"/>
    </w:rPr>
  </w:style>
  <w:style w:type="paragraph" w:styleId="Title">
    <w:name w:val="Title"/>
    <w:basedOn w:val="Normal"/>
    <w:next w:val="Normal"/>
    <w:link w:val="TitleChar"/>
    <w:uiPriority w:val="10"/>
    <w:qFormat/>
    <w:rsid w:val="00F33CEC"/>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F33CEC"/>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F33CEC"/>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F33CE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33CEC"/>
    <w:pPr>
      <w:spacing w:before="160"/>
      <w:jc w:val="center"/>
    </w:pPr>
    <w:rPr>
      <w:i/>
      <w:iCs/>
      <w:color w:val="404040" w:themeColor="text1" w:themeTint="BF"/>
    </w:rPr>
  </w:style>
  <w:style w:type="character" w:styleId="QuoteChar" w:customStyle="1">
    <w:name w:val="Quote Char"/>
    <w:basedOn w:val="DefaultParagraphFont"/>
    <w:link w:val="Quote"/>
    <w:uiPriority w:val="29"/>
    <w:rsid w:val="00F33CEC"/>
    <w:rPr>
      <w:i/>
      <w:iCs/>
      <w:color w:val="404040" w:themeColor="text1" w:themeTint="BF"/>
    </w:rPr>
  </w:style>
  <w:style w:type="paragraph" w:styleId="ListParagraph">
    <w:name w:val="List Paragraph"/>
    <w:basedOn w:val="Normal"/>
    <w:uiPriority w:val="34"/>
    <w:qFormat/>
    <w:rsid w:val="00F33CEC"/>
    <w:pPr>
      <w:ind w:left="720"/>
      <w:contextualSpacing/>
    </w:pPr>
  </w:style>
  <w:style w:type="character" w:styleId="IntenseEmphasis">
    <w:name w:val="Intense Emphasis"/>
    <w:basedOn w:val="DefaultParagraphFont"/>
    <w:uiPriority w:val="21"/>
    <w:qFormat/>
    <w:rsid w:val="00F33CEC"/>
    <w:rPr>
      <w:i/>
      <w:iCs/>
      <w:color w:val="0F4761" w:themeColor="accent1" w:themeShade="BF"/>
    </w:rPr>
  </w:style>
  <w:style w:type="paragraph" w:styleId="IntenseQuote">
    <w:name w:val="Intense Quote"/>
    <w:basedOn w:val="Normal"/>
    <w:next w:val="Normal"/>
    <w:link w:val="IntenseQuoteChar"/>
    <w:uiPriority w:val="30"/>
    <w:qFormat/>
    <w:rsid w:val="00F33CEC"/>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F33CEC"/>
    <w:rPr>
      <w:i/>
      <w:iCs/>
      <w:color w:val="0F4761" w:themeColor="accent1" w:themeShade="BF"/>
    </w:rPr>
  </w:style>
  <w:style w:type="character" w:styleId="IntenseReference">
    <w:name w:val="Intense Reference"/>
    <w:basedOn w:val="DefaultParagraphFont"/>
    <w:uiPriority w:val="32"/>
    <w:qFormat/>
    <w:rsid w:val="00F33CEC"/>
    <w:rPr>
      <w:b/>
      <w:bCs/>
      <w:smallCaps/>
      <w:color w:val="0F4761" w:themeColor="accent1" w:themeShade="BF"/>
      <w:spacing w:val="5"/>
    </w:rPr>
  </w:style>
  <w:style w:type="character" w:styleId="Hyperlink">
    <w:name w:val="Hyperlink"/>
    <w:basedOn w:val="DefaultParagraphFont"/>
    <w:uiPriority w:val="99"/>
    <w:unhideWhenUsed/>
    <w:rsid w:val="00251B11"/>
    <w:rPr>
      <w:color w:val="467886" w:themeColor="hyperlink"/>
      <w:u w:val="single"/>
    </w:rPr>
  </w:style>
  <w:style w:type="character" w:styleId="UnresolvedMention">
    <w:name w:val="Unresolved Mention"/>
    <w:basedOn w:val="DefaultParagraphFont"/>
    <w:uiPriority w:val="99"/>
    <w:semiHidden/>
    <w:unhideWhenUsed/>
    <w:rsid w:val="00251B11"/>
    <w:rPr>
      <w:color w:val="605E5C"/>
      <w:shd w:val="clear" w:color="auto" w:fill="E1DFDD"/>
    </w:rPr>
  </w:style>
  <w:style w:type="paragraph" w:styleId="FootnoteText">
    <w:name w:val="footnote text"/>
    <w:basedOn w:val="Normal"/>
    <w:link w:val="FootnoteTextChar"/>
    <w:uiPriority w:val="99"/>
    <w:unhideWhenUsed/>
    <w:rsid w:val="0067406D"/>
    <w:pPr>
      <w:spacing w:after="0" w:line="240" w:lineRule="auto"/>
    </w:pPr>
    <w:rPr>
      <w:sz w:val="20"/>
      <w:szCs w:val="20"/>
    </w:rPr>
  </w:style>
  <w:style w:type="character" w:styleId="FootnoteTextChar" w:customStyle="1">
    <w:name w:val="Footnote Text Char"/>
    <w:basedOn w:val="DefaultParagraphFont"/>
    <w:link w:val="FootnoteText"/>
    <w:uiPriority w:val="99"/>
    <w:rsid w:val="0067406D"/>
    <w:rPr>
      <w:sz w:val="20"/>
      <w:szCs w:val="20"/>
    </w:rPr>
  </w:style>
  <w:style w:type="character" w:styleId="FootnoteReference">
    <w:name w:val="footnote reference"/>
    <w:basedOn w:val="DefaultParagraphFont"/>
    <w:uiPriority w:val="99"/>
    <w:semiHidden/>
    <w:unhideWhenUsed/>
    <w:rsid w:val="0067406D"/>
    <w:rPr>
      <w:vertAlign w:val="superscript"/>
    </w:rPr>
  </w:style>
  <w:style w:type="paragraph" w:styleId="Header">
    <w:uiPriority w:val="99"/>
    <w:name w:val="header"/>
    <w:basedOn w:val="Normal"/>
    <w:unhideWhenUsed/>
    <w:rsid w:val="3828EF9E"/>
    <w:pPr>
      <w:tabs>
        <w:tab w:val="center" w:leader="none" w:pos="4680"/>
        <w:tab w:val="right" w:leader="none" w:pos="9360"/>
      </w:tabs>
      <w:spacing w:after="0" w:line="240" w:lineRule="auto"/>
    </w:pPr>
  </w:style>
  <w:style w:type="paragraph" w:styleId="Footer">
    <w:uiPriority w:val="99"/>
    <w:name w:val="footer"/>
    <w:basedOn w:val="Normal"/>
    <w:unhideWhenUsed/>
    <w:rsid w:val="3828EF9E"/>
    <w:pPr>
      <w:tabs>
        <w:tab w:val="center" w:leader="none" w:pos="4680"/>
        <w:tab w:val="right" w:leader="none" w:pos="9360"/>
      </w:tabs>
      <w:spacing w:after="0" w:line="240" w:lineRule="auto"/>
    </w:p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tasks.xml><?xml version="1.0" encoding="utf-8"?>
<t:Tasks xmlns:t="http://schemas.microsoft.com/office/tasks/2019/documenttasks" xmlns:oel="http://schemas.microsoft.com/office/2019/extlst">
  <t:Task id="{47F4DEF8-6942-44A4-B857-0B3E4B9D9F7A}">
    <t:Anchor>
      <t:Comment id="175309266"/>
    </t:Anchor>
    <t:History>
      <t:Event id="{9288BCE6-D233-4BF6-8908-823798F0D52C}" time="2026-02-27T12:50:56.143Z">
        <t:Attribution userId="S::mbraddock@hillingdon.gov.uk::381050a9-f69e-458b-b2f9-354aae5b0272" userProvider="AD" userName="Mark Braddock"/>
        <t:Anchor>
          <t:Comment id="175309266"/>
        </t:Anchor>
        <t:Create/>
      </t:Event>
      <t:Event id="{D32BA16B-F88B-40C8-A9B0-F606BFF1D559}" time="2026-02-27T12:50:56.143Z">
        <t:Attribution userId="S::mbraddock@hillingdon.gov.uk::381050a9-f69e-458b-b2f9-354aae5b0272" userProvider="AD" userName="Mark Braddock"/>
        <t:Anchor>
          <t:Comment id="175309266"/>
        </t:Anchor>
        <t:Assign userId="S::MGreenidge@hillingdon.gov.uk::6898fdf1-bc59-46b3-a8fb-b40ba908a378" userProvider="AD" userName="Michelle Greenidge"/>
      </t:Event>
      <t:Event id="{DB7AE176-2926-4BB6-9C59-9D881147F344}" time="2026-02-27T12:50:56.143Z">
        <t:Attribution userId="S::mbraddock@hillingdon.gov.uk::381050a9-f69e-458b-b2f9-354aae5b0272" userProvider="AD" userName="Mark Braddock"/>
        <t:Anchor>
          <t:Comment id="175309266"/>
        </t:Anchor>
        <t:SetTitle title="@Michelle Greenidge @Natalie Fairclough have sent you an email about these. Mark"/>
      </t:Event>
    </t:History>
  </t:Task>
</t:Task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webSettings" Target="webSettings.xml" Id="rId3" /><Relationship Type="http://schemas.openxmlformats.org/officeDocument/2006/relationships/customXml" Target="../customXml/item3.xml" Id="rId12"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2.xml" Id="rId11" /><Relationship Type="http://schemas.openxmlformats.org/officeDocument/2006/relationships/endnotes" Target="endnotes.xml" Id="rId5" /><Relationship Type="http://schemas.openxmlformats.org/officeDocument/2006/relationships/customXml" Target="../customXml/item1.xml" Id="rId10" /><Relationship Type="http://schemas.openxmlformats.org/officeDocument/2006/relationships/footnotes" Target="footnotes.xml" Id="rId4" /><Relationship Type="http://schemas.openxmlformats.org/officeDocument/2006/relationships/theme" Target="theme/theme1.xml" Id="rId9" /><Relationship Type="http://schemas.openxmlformats.org/officeDocument/2006/relationships/image" Target="/media/image2.png" Id="rId1199018669" /><Relationship Type="http://schemas.openxmlformats.org/officeDocument/2006/relationships/header" Target="header.xml" Id="Redf561bf3d524263" /><Relationship Type="http://schemas.openxmlformats.org/officeDocument/2006/relationships/footer" Target="footer.xml" Id="R7f44f9202d0447e6" /><Relationship Type="http://schemas.microsoft.com/office/2019/05/relationships/documenttasks" Target="tasks.xml" Id="R37c1aca316954972" /><Relationship Type="http://schemas.openxmlformats.org/officeDocument/2006/relationships/hyperlink" Target="https://www.hillingdon.gov.uk/HMO" TargetMode="External" Id="Rb9df12ec8df84f19" /><Relationship Type="http://schemas.openxmlformats.org/officeDocument/2006/relationships/image" Target="/media/image4.png" Id="rId519983819" /><Relationship Type="http://schemas.openxmlformats.org/officeDocument/2006/relationships/header" Target="header2.xml" Id="Rf759d0baf46f4d52" /><Relationship Type="http://schemas.openxmlformats.org/officeDocument/2006/relationships/footer" Target="footer2.xml" Id="R442113adbd5047ba" /><Relationship Type="http://schemas.microsoft.com/office/2020/10/relationships/intelligence" Target="intelligence2.xml" Id="Rfd492a01e5284c52" /></Relationships>
</file>

<file path=word/_rels/header.xml.rels>&#65279;<?xml version="1.0" encoding="utf-8"?><Relationships xmlns="http://schemas.openxmlformats.org/package/2006/relationships"><Relationship Type="http://schemas.openxmlformats.org/officeDocument/2006/relationships/image" Target="/media/image3.png" Id="rId6"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BA9FCEB5CE61D4FBD8B021B432FBBB3" ma:contentTypeVersion="3" ma:contentTypeDescription="Create a new document." ma:contentTypeScope="" ma:versionID="3166d057c457a6e722b0f02b58a0e947">
  <xsd:schema xmlns:xsd="http://www.w3.org/2001/XMLSchema" xmlns:xs="http://www.w3.org/2001/XMLSchema" xmlns:p="http://schemas.microsoft.com/office/2006/metadata/properties" xmlns:ns2="85078412-3575-451c-93c5-13f7f3090095" targetNamespace="http://schemas.microsoft.com/office/2006/metadata/properties" ma:root="true" ma:fieldsID="016269681c871403e396ef4fe98f18c7" ns2:_="">
    <xsd:import namespace="85078412-3575-451c-93c5-13f7f3090095"/>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078412-3575-451c-93c5-13f7f30900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CD04EF9-ED39-4F62-8622-A461FC761613}"/>
</file>

<file path=customXml/itemProps2.xml><?xml version="1.0" encoding="utf-8"?>
<ds:datastoreItem xmlns:ds="http://schemas.openxmlformats.org/officeDocument/2006/customXml" ds:itemID="{36C737C0-3539-4B69-9B85-0A77B4DAE82D}"/>
</file>

<file path=customXml/itemProps3.xml><?xml version="1.0" encoding="utf-8"?>
<ds:datastoreItem xmlns:ds="http://schemas.openxmlformats.org/officeDocument/2006/customXml" ds:itemID="{B408C670-BA73-49BC-BF1B-B155FD93681F}"/>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LBH</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Michelle Greenidge</dc:creator>
  <keywords/>
  <dc:description/>
  <lastModifiedBy>Michelle Greenidge</lastModifiedBy>
  <revision>3</revision>
  <dcterms:created xsi:type="dcterms:W3CDTF">2026-02-13T13:55:00.0000000Z</dcterms:created>
  <dcterms:modified xsi:type="dcterms:W3CDTF">2026-03-05T15:31:01.9861727Z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a8edf35-91ea-44e1-afab-38c462b39a0c_Enabled">
    <vt:lpwstr>true</vt:lpwstr>
  </property>
  <property fmtid="{D5CDD505-2E9C-101B-9397-08002B2CF9AE}" pid="3" name="MSIP_Label_7a8edf35-91ea-44e1-afab-38c462b39a0c_SetDate">
    <vt:lpwstr>2026-02-15T15:09:11Z</vt:lpwstr>
  </property>
  <property fmtid="{D5CDD505-2E9C-101B-9397-08002B2CF9AE}" pid="4" name="MSIP_Label_7a8edf35-91ea-44e1-afab-38c462b39a0c_Method">
    <vt:lpwstr>Standard</vt:lpwstr>
  </property>
  <property fmtid="{D5CDD505-2E9C-101B-9397-08002B2CF9AE}" pid="5" name="MSIP_Label_7a8edf35-91ea-44e1-afab-38c462b39a0c_Name">
    <vt:lpwstr>Official</vt:lpwstr>
  </property>
  <property fmtid="{D5CDD505-2E9C-101B-9397-08002B2CF9AE}" pid="6" name="MSIP_Label_7a8edf35-91ea-44e1-afab-38c462b39a0c_SiteId">
    <vt:lpwstr>aaacb679-c381-48fb-b320-f9d581ee948f</vt:lpwstr>
  </property>
  <property fmtid="{D5CDD505-2E9C-101B-9397-08002B2CF9AE}" pid="7" name="MSIP_Label_7a8edf35-91ea-44e1-afab-38c462b39a0c_ActionId">
    <vt:lpwstr>1404a17c-ac5d-418d-af23-b80ada70cf10</vt:lpwstr>
  </property>
  <property fmtid="{D5CDD505-2E9C-101B-9397-08002B2CF9AE}" pid="8" name="MSIP_Label_7a8edf35-91ea-44e1-afab-38c462b39a0c_ContentBits">
    <vt:lpwstr>0</vt:lpwstr>
  </property>
  <property fmtid="{D5CDD505-2E9C-101B-9397-08002B2CF9AE}" pid="9" name="MSIP_Label_7a8edf35-91ea-44e1-afab-38c462b39a0c_Tag">
    <vt:lpwstr>10, 3, 0, 1</vt:lpwstr>
  </property>
  <property fmtid="{D5CDD505-2E9C-101B-9397-08002B2CF9AE}" pid="10" name="ContentTypeId">
    <vt:lpwstr>0x0101004BA9FCEB5CE61D4FBD8B021B432FBBB3</vt:lpwstr>
  </property>
  <property fmtid="{D5CDD505-2E9C-101B-9397-08002B2CF9AE}" pid="12" name="docLang">
    <vt:lpwstr>en</vt:lpwstr>
  </property>
</Properties>
</file>