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0B" w:rsidRDefault="008E290B" w:rsidP="00A70F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Gambling Act 2005</w:t>
      </w:r>
    </w:p>
    <w:p w:rsidR="00A70FA3" w:rsidRDefault="00A70FA3" w:rsidP="00A70F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46F52">
        <w:rPr>
          <w:rFonts w:ascii="Arial" w:hAnsi="Arial" w:cs="Arial"/>
          <w:b/>
          <w:sz w:val="28"/>
          <w:szCs w:val="28"/>
        </w:rPr>
        <w:t>Representation Form from Interested Parties</w:t>
      </w:r>
    </w:p>
    <w:p w:rsidR="00A70FA3" w:rsidRPr="00C11CA8" w:rsidRDefault="00A70FA3" w:rsidP="00A70FA3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(Please read notes on reverse before completing)</w:t>
      </w:r>
    </w:p>
    <w:p w:rsidR="00A70FA3" w:rsidRPr="0057592C" w:rsidRDefault="00A70FA3" w:rsidP="00A70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592C">
        <w:rPr>
          <w:rFonts w:ascii="Arial" w:hAnsi="Arial" w:cs="Arial"/>
          <w:b/>
          <w:sz w:val="24"/>
          <w:szCs w:val="24"/>
        </w:rPr>
        <w:t>Your details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(See notes 2 &amp; 3)</w:t>
      </w:r>
      <w:r w:rsidRPr="0057592C">
        <w:rPr>
          <w:rFonts w:ascii="Arial" w:hAnsi="Arial" w:cs="Arial"/>
          <w:b/>
          <w:sz w:val="24"/>
          <w:szCs w:val="24"/>
        </w:rPr>
        <w:t>;</w:t>
      </w:r>
    </w:p>
    <w:tbl>
      <w:tblPr>
        <w:tblStyle w:val="TableGrid"/>
        <w:tblW w:w="10173" w:type="dxa"/>
        <w:tblLook w:val="04A0"/>
      </w:tblPr>
      <w:tblGrid>
        <w:gridCol w:w="3085"/>
        <w:gridCol w:w="7088"/>
      </w:tblGrid>
      <w:tr w:rsidR="00A70FA3" w:rsidTr="008E290B">
        <w:trPr>
          <w:trHeight w:val="413"/>
        </w:trPr>
        <w:tc>
          <w:tcPr>
            <w:tcW w:w="3085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Name</w:t>
            </w:r>
          </w:p>
        </w:tc>
        <w:tc>
          <w:tcPr>
            <w:tcW w:w="7088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FA3" w:rsidTr="00E21896">
        <w:trPr>
          <w:trHeight w:val="1025"/>
        </w:trPr>
        <w:tc>
          <w:tcPr>
            <w:tcW w:w="3085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residential address</w:t>
            </w:r>
          </w:p>
        </w:tc>
        <w:tc>
          <w:tcPr>
            <w:tcW w:w="7088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FA3" w:rsidTr="008E290B">
        <w:trPr>
          <w:trHeight w:val="424"/>
        </w:trPr>
        <w:tc>
          <w:tcPr>
            <w:tcW w:w="3085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email address</w:t>
            </w:r>
          </w:p>
        </w:tc>
        <w:tc>
          <w:tcPr>
            <w:tcW w:w="7088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FA3" w:rsidTr="008E290B">
        <w:trPr>
          <w:trHeight w:val="402"/>
        </w:trPr>
        <w:tc>
          <w:tcPr>
            <w:tcW w:w="3085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phone number</w:t>
            </w:r>
          </w:p>
        </w:tc>
        <w:tc>
          <w:tcPr>
            <w:tcW w:w="7088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FA3" w:rsidTr="008E290B">
        <w:trPr>
          <w:trHeight w:val="436"/>
        </w:trPr>
        <w:tc>
          <w:tcPr>
            <w:tcW w:w="3085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name of the body or organisation you represent</w:t>
            </w:r>
          </w:p>
        </w:tc>
        <w:tc>
          <w:tcPr>
            <w:tcW w:w="7088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0FA3" w:rsidRDefault="00A70FA3" w:rsidP="00A70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0FA3" w:rsidRPr="0057592C" w:rsidRDefault="00A70FA3" w:rsidP="00A70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592C">
        <w:rPr>
          <w:rFonts w:ascii="Arial" w:hAnsi="Arial" w:cs="Arial"/>
          <w:b/>
          <w:sz w:val="24"/>
          <w:szCs w:val="24"/>
        </w:rPr>
        <w:t>About the premises;</w:t>
      </w:r>
    </w:p>
    <w:tbl>
      <w:tblPr>
        <w:tblStyle w:val="TableGrid"/>
        <w:tblW w:w="0" w:type="auto"/>
        <w:tblLook w:val="04A0"/>
      </w:tblPr>
      <w:tblGrid>
        <w:gridCol w:w="2943"/>
        <w:gridCol w:w="7230"/>
      </w:tblGrid>
      <w:tr w:rsidR="00A70FA3" w:rsidTr="008E290B">
        <w:tc>
          <w:tcPr>
            <w:tcW w:w="2943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the premises you are making a representation about</w:t>
            </w:r>
          </w:p>
        </w:tc>
        <w:tc>
          <w:tcPr>
            <w:tcW w:w="7230" w:type="dxa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FA3" w:rsidTr="008E290B">
        <w:tc>
          <w:tcPr>
            <w:tcW w:w="2943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of the premises you are making a representation about</w:t>
            </w:r>
          </w:p>
        </w:tc>
        <w:tc>
          <w:tcPr>
            <w:tcW w:w="7230" w:type="dxa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0FA3" w:rsidRDefault="00A70FA3" w:rsidP="00A70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0FA3" w:rsidRPr="0057592C" w:rsidRDefault="00A70FA3" w:rsidP="00A70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592C">
        <w:rPr>
          <w:rFonts w:ascii="Arial" w:hAnsi="Arial" w:cs="Arial"/>
          <w:b/>
          <w:sz w:val="24"/>
          <w:szCs w:val="24"/>
        </w:rPr>
        <w:t>The Licensing Objectives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(See note 4)</w:t>
      </w:r>
      <w:r>
        <w:rPr>
          <w:rFonts w:ascii="Arial" w:hAnsi="Arial" w:cs="Arial"/>
          <w:b/>
          <w:sz w:val="24"/>
          <w:szCs w:val="24"/>
        </w:rPr>
        <w:t>;</w:t>
      </w:r>
    </w:p>
    <w:tbl>
      <w:tblPr>
        <w:tblStyle w:val="TableGrid"/>
        <w:tblW w:w="0" w:type="auto"/>
        <w:tblLook w:val="04A0"/>
      </w:tblPr>
      <w:tblGrid>
        <w:gridCol w:w="2802"/>
        <w:gridCol w:w="7371"/>
      </w:tblGrid>
      <w:tr w:rsidR="00A70FA3" w:rsidTr="008E290B">
        <w:trPr>
          <w:trHeight w:val="664"/>
        </w:trPr>
        <w:tc>
          <w:tcPr>
            <w:tcW w:w="2802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Licensing Objective</w:t>
            </w:r>
          </w:p>
        </w:tc>
        <w:tc>
          <w:tcPr>
            <w:tcW w:w="7371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Reasons for your representation and any supporting evidence</w:t>
            </w:r>
          </w:p>
        </w:tc>
      </w:tr>
      <w:tr w:rsidR="00A70FA3" w:rsidTr="008E290B">
        <w:trPr>
          <w:trHeight w:val="1666"/>
        </w:trPr>
        <w:tc>
          <w:tcPr>
            <w:tcW w:w="2802" w:type="dxa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Please tick;</w:t>
            </w:r>
          </w:p>
          <w:p w:rsidR="008E290B" w:rsidRDefault="00A70FA3" w:rsidP="00446F20">
            <w:pPr>
              <w:rPr>
                <w:rFonts w:ascii="Arial" w:hAnsi="Arial" w:cs="Arial"/>
                <w:sz w:val="24"/>
                <w:szCs w:val="24"/>
              </w:rPr>
            </w:pPr>
            <w:r w:rsidRPr="00F9403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290B" w:rsidRPr="008E290B">
              <w:rPr>
                <w:rFonts w:ascii="Arial" w:hAnsi="Arial" w:cs="Arial"/>
                <w:sz w:val="24"/>
                <w:szCs w:val="24"/>
              </w:rPr>
              <w:t xml:space="preserve">Preventing gambling from being a source of crime or disorder, being associated with crime or disorder or being used to support crime </w:t>
            </w:r>
          </w:p>
        </w:tc>
        <w:tc>
          <w:tcPr>
            <w:tcW w:w="7371" w:type="dxa"/>
            <w:vAlign w:val="center"/>
          </w:tcPr>
          <w:p w:rsidR="00A70FA3" w:rsidRDefault="00A70FA3" w:rsidP="008E29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90B" w:rsidTr="00E21896">
        <w:trPr>
          <w:trHeight w:val="1511"/>
        </w:trPr>
        <w:tc>
          <w:tcPr>
            <w:tcW w:w="2802" w:type="dxa"/>
          </w:tcPr>
          <w:p w:rsidR="00446F20" w:rsidRDefault="008E290B" w:rsidP="00E21896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9403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90B">
              <w:rPr>
                <w:rFonts w:ascii="Arial" w:hAnsi="Arial" w:cs="Arial"/>
                <w:sz w:val="24"/>
                <w:szCs w:val="24"/>
              </w:rPr>
              <w:t>Ensuring that gambling is conducted in a fair and open way</w:t>
            </w:r>
          </w:p>
        </w:tc>
        <w:tc>
          <w:tcPr>
            <w:tcW w:w="7371" w:type="dxa"/>
            <w:vAlign w:val="center"/>
          </w:tcPr>
          <w:p w:rsidR="008E290B" w:rsidRDefault="008E290B" w:rsidP="008E29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90B" w:rsidTr="00446F20">
        <w:trPr>
          <w:trHeight w:val="2064"/>
        </w:trPr>
        <w:tc>
          <w:tcPr>
            <w:tcW w:w="2802" w:type="dxa"/>
          </w:tcPr>
          <w:p w:rsidR="008E290B" w:rsidRDefault="008E290B" w:rsidP="008E290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9403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90B">
              <w:rPr>
                <w:rFonts w:ascii="Arial" w:hAnsi="Arial" w:cs="Arial"/>
                <w:sz w:val="24"/>
                <w:szCs w:val="24"/>
              </w:rPr>
              <w:t>Protecting children and other vulnerable persons from being harmed or exploited by gambling</w:t>
            </w:r>
          </w:p>
        </w:tc>
        <w:tc>
          <w:tcPr>
            <w:tcW w:w="7371" w:type="dxa"/>
            <w:vAlign w:val="center"/>
          </w:tcPr>
          <w:p w:rsidR="008E290B" w:rsidRDefault="008E290B" w:rsidP="008E29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0FA3" w:rsidRDefault="00A70FA3" w:rsidP="00A70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70FA3" w:rsidRDefault="00A70FA3" w:rsidP="00A70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0170">
        <w:rPr>
          <w:rFonts w:ascii="Arial" w:hAnsi="Arial" w:cs="Arial"/>
          <w:b/>
          <w:sz w:val="24"/>
          <w:szCs w:val="24"/>
        </w:rPr>
        <w:t>The outcome you are seeking</w:t>
      </w:r>
      <w:r>
        <w:rPr>
          <w:rFonts w:ascii="Arial" w:hAnsi="Arial" w:cs="Arial"/>
          <w:b/>
          <w:sz w:val="24"/>
          <w:szCs w:val="24"/>
        </w:rPr>
        <w:t xml:space="preserve"> from the Licensing Authority </w:t>
      </w:r>
      <w:r>
        <w:rPr>
          <w:rFonts w:ascii="Arial" w:hAnsi="Arial" w:cs="Arial"/>
          <w:b/>
          <w:i/>
          <w:sz w:val="24"/>
          <w:szCs w:val="24"/>
        </w:rPr>
        <w:t>(See note 6)</w:t>
      </w:r>
      <w:r w:rsidRPr="00410170">
        <w:rPr>
          <w:rFonts w:ascii="Arial" w:hAnsi="Arial" w:cs="Arial"/>
          <w:b/>
          <w:sz w:val="24"/>
          <w:szCs w:val="24"/>
        </w:rPr>
        <w:t>;</w:t>
      </w:r>
    </w:p>
    <w:tbl>
      <w:tblPr>
        <w:tblStyle w:val="TableGrid"/>
        <w:tblW w:w="0" w:type="auto"/>
        <w:tblLook w:val="04A0"/>
      </w:tblPr>
      <w:tblGrid>
        <w:gridCol w:w="10173"/>
      </w:tblGrid>
      <w:tr w:rsidR="00A70FA3" w:rsidTr="00E21896">
        <w:trPr>
          <w:trHeight w:val="1000"/>
        </w:trPr>
        <w:tc>
          <w:tcPr>
            <w:tcW w:w="10173" w:type="dxa"/>
          </w:tcPr>
          <w:p w:rsidR="00A70FA3" w:rsidRDefault="00A70FA3" w:rsidP="008E29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0FA3" w:rsidRDefault="00A70FA3" w:rsidP="008E29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70FA3" w:rsidRDefault="00A70FA3" w:rsidP="00A70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70FA3" w:rsidRDefault="00A70FA3" w:rsidP="00A70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Signed: .................................................................  Date: ...........................................................</w:t>
      </w:r>
    </w:p>
    <w:p w:rsidR="00A70FA3" w:rsidRDefault="00A70FA3" w:rsidP="00A70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21896" w:rsidRDefault="00E21896" w:rsidP="00A70FA3">
      <w:pPr>
        <w:spacing w:after="0" w:line="240" w:lineRule="auto"/>
        <w:rPr>
          <w:rFonts w:ascii="Arial" w:hAnsi="Arial" w:cs="Arial"/>
          <w:b/>
        </w:rPr>
      </w:pPr>
    </w:p>
    <w:p w:rsidR="00A70FA3" w:rsidRPr="00D44F9B" w:rsidRDefault="00A70FA3" w:rsidP="00A70FA3">
      <w:pPr>
        <w:spacing w:after="0" w:line="240" w:lineRule="auto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lastRenderedPageBreak/>
        <w:t>Notes:</w:t>
      </w:r>
    </w:p>
    <w:p w:rsidR="00A70FA3" w:rsidRPr="00D44F9B" w:rsidRDefault="00A70FA3" w:rsidP="00A70FA3">
      <w:pPr>
        <w:rPr>
          <w:rFonts w:ascii="Arial" w:hAnsi="Arial" w:cs="Arial"/>
        </w:rPr>
      </w:pPr>
    </w:p>
    <w:p w:rsidR="00A70FA3" w:rsidRPr="00D44F9B" w:rsidRDefault="00A70FA3" w:rsidP="00A70FA3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>All representations must be submitted before the conclusion of the 28 day consultation period. This will be advertised on the public notices and also on the Councils website.</w:t>
      </w:r>
    </w:p>
    <w:p w:rsidR="00A70FA3" w:rsidRPr="00D44F9B" w:rsidRDefault="00A70FA3" w:rsidP="00A70FA3">
      <w:pPr>
        <w:pStyle w:val="ListParagraph"/>
        <w:ind w:left="426"/>
        <w:jc w:val="both"/>
        <w:rPr>
          <w:rFonts w:ascii="Arial" w:hAnsi="Arial" w:cs="Arial"/>
        </w:rPr>
      </w:pPr>
    </w:p>
    <w:p w:rsidR="00A70FA3" w:rsidRPr="00D44F9B" w:rsidRDefault="00A70FA3" w:rsidP="00A70FA3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 xml:space="preserve">Persons </w:t>
      </w:r>
      <w:r>
        <w:rPr>
          <w:rFonts w:ascii="Arial" w:hAnsi="Arial" w:cs="Arial"/>
        </w:rPr>
        <w:t xml:space="preserve">who may </w:t>
      </w:r>
      <w:r w:rsidRPr="00D44F9B">
        <w:rPr>
          <w:rFonts w:ascii="Arial" w:hAnsi="Arial" w:cs="Arial"/>
        </w:rPr>
        <w:t xml:space="preserve">make representation include; persons who reside near to the </w:t>
      </w:r>
      <w:r>
        <w:rPr>
          <w:rFonts w:ascii="Arial" w:hAnsi="Arial" w:cs="Arial"/>
        </w:rPr>
        <w:t>premises to which the application relates and</w:t>
      </w:r>
      <w:r w:rsidRPr="00D44F9B">
        <w:rPr>
          <w:rFonts w:ascii="Arial" w:hAnsi="Arial" w:cs="Arial"/>
        </w:rPr>
        <w:t xml:space="preserve"> who are likely to be affected by licensable activities; residents associations who are representing residents who reside near to the application premises; Ward Councillors representing their constituents; any person who lives or works in the area and has concerns about the application premises.</w:t>
      </w:r>
    </w:p>
    <w:p w:rsidR="00A70FA3" w:rsidRPr="00D44F9B" w:rsidRDefault="00A70FA3" w:rsidP="00A70FA3">
      <w:pPr>
        <w:pStyle w:val="ListParagraph"/>
        <w:ind w:left="426"/>
        <w:rPr>
          <w:rFonts w:ascii="Arial" w:hAnsi="Arial" w:cs="Arial"/>
        </w:rPr>
      </w:pPr>
    </w:p>
    <w:p w:rsidR="00A70FA3" w:rsidRPr="00D44F9B" w:rsidRDefault="00A70FA3" w:rsidP="00A70FA3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 xml:space="preserve">Please note that representations cannot be anonymous. Copies of all representations will be published in any Committee papers and will be sent to all </w:t>
      </w:r>
      <w:r>
        <w:rPr>
          <w:rFonts w:ascii="Arial" w:hAnsi="Arial" w:cs="Arial"/>
        </w:rPr>
        <w:t>persons involved with the hearing</w:t>
      </w:r>
      <w:r w:rsidRPr="00D44F9B">
        <w:rPr>
          <w:rFonts w:ascii="Arial" w:hAnsi="Arial" w:cs="Arial"/>
        </w:rPr>
        <w:t xml:space="preserve"> including the applicant. If you have concerns about the use of your information and would like to discuss this further, please contact one of our Licensing Officers for a discussion</w:t>
      </w:r>
      <w:r>
        <w:rPr>
          <w:rFonts w:ascii="Arial" w:hAnsi="Arial" w:cs="Arial"/>
        </w:rPr>
        <w:t>,</w:t>
      </w:r>
      <w:r w:rsidRPr="00D44F9B">
        <w:rPr>
          <w:rFonts w:ascii="Arial" w:hAnsi="Arial" w:cs="Arial"/>
        </w:rPr>
        <w:t xml:space="preserve"> on the</w:t>
      </w:r>
      <w:r>
        <w:rPr>
          <w:rFonts w:ascii="Arial" w:hAnsi="Arial" w:cs="Arial"/>
        </w:rPr>
        <w:t xml:space="preserve"> contact details</w:t>
      </w:r>
      <w:r w:rsidRPr="00D44F9B">
        <w:rPr>
          <w:rFonts w:ascii="Arial" w:hAnsi="Arial" w:cs="Arial"/>
        </w:rPr>
        <w:t xml:space="preserve"> below.</w:t>
      </w:r>
    </w:p>
    <w:p w:rsidR="00A70FA3" w:rsidRPr="00D44F9B" w:rsidRDefault="00A70FA3" w:rsidP="00A70FA3">
      <w:pPr>
        <w:pStyle w:val="ListParagraph"/>
        <w:ind w:left="426"/>
        <w:jc w:val="both"/>
        <w:rPr>
          <w:rFonts w:ascii="Arial" w:hAnsi="Arial" w:cs="Arial"/>
        </w:rPr>
      </w:pPr>
    </w:p>
    <w:p w:rsidR="00A70FA3" w:rsidRPr="00D44F9B" w:rsidRDefault="00A70FA3" w:rsidP="00A70FA3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>In order to be considered 'relevant', the representation must relate to one or more of the 'Licensing Objectives'. These objectives are;</w:t>
      </w:r>
    </w:p>
    <w:p w:rsidR="00A70FA3" w:rsidRPr="00D44F9B" w:rsidRDefault="00A70FA3" w:rsidP="00A70FA3">
      <w:pPr>
        <w:pStyle w:val="ListParagraph"/>
        <w:ind w:left="426"/>
        <w:rPr>
          <w:rFonts w:ascii="Arial" w:hAnsi="Arial" w:cs="Arial"/>
        </w:rPr>
      </w:pPr>
    </w:p>
    <w:p w:rsidR="00446F20" w:rsidRPr="00446F20" w:rsidRDefault="00446F20" w:rsidP="00A70FA3">
      <w:pPr>
        <w:pStyle w:val="ListParagraph"/>
        <w:numPr>
          <w:ilvl w:val="2"/>
          <w:numId w:val="2"/>
        </w:numPr>
        <w:ind w:left="993" w:hanging="459"/>
        <w:jc w:val="both"/>
        <w:rPr>
          <w:rFonts w:ascii="Arial" w:hAnsi="Arial" w:cs="Arial"/>
        </w:rPr>
      </w:pPr>
      <w:r w:rsidRPr="00446F20">
        <w:rPr>
          <w:rFonts w:ascii="Arial" w:hAnsi="Arial" w:cs="Arial"/>
          <w:sz w:val="24"/>
          <w:szCs w:val="24"/>
        </w:rPr>
        <w:t>Preventing gambling from being a source of crime or disorder, being associated with crime or disorder or being used to support crime</w:t>
      </w:r>
      <w:r>
        <w:rPr>
          <w:rFonts w:ascii="Arial" w:hAnsi="Arial" w:cs="Arial"/>
          <w:sz w:val="24"/>
          <w:szCs w:val="24"/>
        </w:rPr>
        <w:t>.</w:t>
      </w:r>
      <w:r w:rsidRPr="00446F20">
        <w:rPr>
          <w:rFonts w:ascii="Arial" w:hAnsi="Arial" w:cs="Arial"/>
          <w:sz w:val="24"/>
          <w:szCs w:val="24"/>
        </w:rPr>
        <w:t xml:space="preserve"> </w:t>
      </w:r>
    </w:p>
    <w:p w:rsidR="00A70FA3" w:rsidRPr="00446F20" w:rsidRDefault="00446F20" w:rsidP="00A70FA3">
      <w:pPr>
        <w:pStyle w:val="ListParagraph"/>
        <w:numPr>
          <w:ilvl w:val="2"/>
          <w:numId w:val="2"/>
        </w:numPr>
        <w:ind w:left="993" w:hanging="459"/>
        <w:jc w:val="both"/>
        <w:rPr>
          <w:rFonts w:ascii="Arial" w:hAnsi="Arial" w:cs="Arial"/>
        </w:rPr>
      </w:pPr>
      <w:r w:rsidRPr="008E290B">
        <w:rPr>
          <w:rFonts w:ascii="Arial" w:hAnsi="Arial" w:cs="Arial"/>
          <w:sz w:val="24"/>
          <w:szCs w:val="24"/>
        </w:rPr>
        <w:t>Ensuring that gambling is conducted in a fair and open way</w:t>
      </w:r>
      <w:r w:rsidR="00A70FA3" w:rsidRPr="00446F20">
        <w:rPr>
          <w:rFonts w:ascii="Arial" w:hAnsi="Arial" w:cs="Arial"/>
        </w:rPr>
        <w:t>.</w:t>
      </w:r>
    </w:p>
    <w:p w:rsidR="00A70FA3" w:rsidRPr="00D44F9B" w:rsidRDefault="00446F20" w:rsidP="00A70FA3">
      <w:pPr>
        <w:pStyle w:val="ListParagraph"/>
        <w:numPr>
          <w:ilvl w:val="2"/>
          <w:numId w:val="2"/>
        </w:numPr>
        <w:ind w:left="993" w:hanging="459"/>
        <w:jc w:val="both"/>
        <w:rPr>
          <w:rFonts w:ascii="Arial" w:hAnsi="Arial" w:cs="Arial"/>
        </w:rPr>
      </w:pPr>
      <w:r w:rsidRPr="008E290B">
        <w:rPr>
          <w:rFonts w:ascii="Arial" w:hAnsi="Arial" w:cs="Arial"/>
          <w:sz w:val="24"/>
          <w:szCs w:val="24"/>
        </w:rPr>
        <w:t>Protecting children and other vulnerable persons from being harmed or exploited by gambling</w:t>
      </w:r>
      <w:r w:rsidR="00A70FA3" w:rsidRPr="00D44F9B">
        <w:rPr>
          <w:rFonts w:ascii="Arial" w:hAnsi="Arial" w:cs="Arial"/>
        </w:rPr>
        <w:t xml:space="preserve">. </w:t>
      </w:r>
    </w:p>
    <w:p w:rsidR="00A70FA3" w:rsidRPr="00D44F9B" w:rsidRDefault="00A70FA3" w:rsidP="00A70FA3">
      <w:pPr>
        <w:pStyle w:val="ListParagraph"/>
        <w:ind w:left="426"/>
        <w:jc w:val="both"/>
        <w:rPr>
          <w:rFonts w:ascii="Arial" w:hAnsi="Arial" w:cs="Arial"/>
        </w:rPr>
      </w:pPr>
    </w:p>
    <w:p w:rsidR="00A70FA3" w:rsidRPr="00D44F9B" w:rsidRDefault="00A70FA3" w:rsidP="00A70FA3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 xml:space="preserve">Upon submitting a representation, it is expected that you will attend the Licensing Sub-Committee hearing </w:t>
      </w:r>
      <w:r>
        <w:rPr>
          <w:rFonts w:ascii="Arial" w:hAnsi="Arial" w:cs="Arial"/>
        </w:rPr>
        <w:t xml:space="preserve">to </w:t>
      </w:r>
      <w:r w:rsidRPr="00D44F9B">
        <w:rPr>
          <w:rFonts w:ascii="Arial" w:hAnsi="Arial" w:cs="Arial"/>
        </w:rPr>
        <w:t>deliver your representation verbally and answer any queries that the Committee may have. If you are unable to attend, your written representation will be considered.</w:t>
      </w:r>
    </w:p>
    <w:p w:rsidR="00A70FA3" w:rsidRPr="00D44F9B" w:rsidRDefault="00A70FA3" w:rsidP="00A70FA3">
      <w:pPr>
        <w:pStyle w:val="ListParagraph"/>
        <w:ind w:left="426"/>
        <w:jc w:val="both"/>
        <w:rPr>
          <w:rFonts w:ascii="Arial" w:hAnsi="Arial" w:cs="Arial"/>
        </w:rPr>
      </w:pPr>
    </w:p>
    <w:p w:rsidR="00A70FA3" w:rsidRDefault="00A70FA3" w:rsidP="00A70FA3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 xml:space="preserve">You may wish to suggest an outcome to the Licensing Sub-Committee </w:t>
      </w:r>
      <w:proofErr w:type="spellStart"/>
      <w:r w:rsidRPr="00D44F9B">
        <w:rPr>
          <w:rFonts w:ascii="Arial" w:hAnsi="Arial" w:cs="Arial"/>
        </w:rPr>
        <w:t>ie</w:t>
      </w:r>
      <w:proofErr w:type="spellEnd"/>
      <w:r w:rsidRPr="00D44F9B">
        <w:rPr>
          <w:rFonts w:ascii="Arial" w:hAnsi="Arial" w:cs="Arial"/>
        </w:rPr>
        <w:t xml:space="preserve">. </w:t>
      </w:r>
      <w:proofErr w:type="gramStart"/>
      <w:r w:rsidRPr="00D44F9B">
        <w:rPr>
          <w:rFonts w:ascii="Arial" w:hAnsi="Arial" w:cs="Arial"/>
        </w:rPr>
        <w:t>grant</w:t>
      </w:r>
      <w:proofErr w:type="gramEnd"/>
      <w:r w:rsidRPr="00D44F9B">
        <w:rPr>
          <w:rFonts w:ascii="Arial" w:hAnsi="Arial" w:cs="Arial"/>
        </w:rPr>
        <w:t xml:space="preserve"> the application with extra conditions; grant the application with fewer hours/activities; reject the application. Please note that the Licensing Sub-Committee will only make reasonable and proportionate decisions based upon the evidence they are presented with</w:t>
      </w:r>
      <w:r>
        <w:rPr>
          <w:rFonts w:ascii="Arial" w:hAnsi="Arial" w:cs="Arial"/>
        </w:rPr>
        <w:t>,</w:t>
      </w:r>
      <w:r w:rsidRPr="00D44F9B">
        <w:rPr>
          <w:rFonts w:ascii="Arial" w:hAnsi="Arial" w:cs="Arial"/>
        </w:rPr>
        <w:t xml:space="preserve"> and in line with the laws and regulations governing Licensing Hearings.</w:t>
      </w:r>
    </w:p>
    <w:p w:rsidR="00A70FA3" w:rsidRPr="00F9403F" w:rsidRDefault="00A70FA3" w:rsidP="00A70FA3">
      <w:pPr>
        <w:pStyle w:val="ListParagraph"/>
        <w:rPr>
          <w:rFonts w:ascii="Arial" w:hAnsi="Arial" w:cs="Arial"/>
        </w:rPr>
      </w:pPr>
    </w:p>
    <w:p w:rsidR="00A70FA3" w:rsidRPr="00D44F9B" w:rsidRDefault="00A70FA3" w:rsidP="00A70FA3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You may continue on separate sheets of paper if necessary and you may also attach any evidence which supports your representation.</w:t>
      </w:r>
    </w:p>
    <w:p w:rsidR="00A70FA3" w:rsidRPr="00D44F9B" w:rsidRDefault="00A70FA3" w:rsidP="00A70FA3">
      <w:pPr>
        <w:pStyle w:val="ListParagraph"/>
        <w:ind w:left="426"/>
        <w:rPr>
          <w:rFonts w:ascii="Arial" w:hAnsi="Arial" w:cs="Arial"/>
        </w:rPr>
      </w:pPr>
    </w:p>
    <w:p w:rsidR="00A70FA3" w:rsidRPr="00446F20" w:rsidRDefault="00A70FA3" w:rsidP="00A70FA3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446F20">
        <w:rPr>
          <w:rFonts w:ascii="Arial" w:hAnsi="Arial" w:cs="Arial"/>
        </w:rPr>
        <w:t>Please submit all completed forms to:</w:t>
      </w:r>
    </w:p>
    <w:p w:rsidR="00A70FA3" w:rsidRPr="00D44F9B" w:rsidRDefault="00A70FA3" w:rsidP="00A70FA3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The Licensing Officer</w:t>
      </w:r>
    </w:p>
    <w:p w:rsidR="00A70FA3" w:rsidRPr="00D44F9B" w:rsidRDefault="00A70FA3" w:rsidP="00A70FA3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Regulatory Services</w:t>
      </w:r>
    </w:p>
    <w:p w:rsidR="00A70FA3" w:rsidRPr="00D44F9B" w:rsidRDefault="00A70FA3" w:rsidP="00A70FA3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London Borough of Hillingdon</w:t>
      </w:r>
    </w:p>
    <w:p w:rsidR="00A70FA3" w:rsidRPr="00D44F9B" w:rsidRDefault="00A70FA3" w:rsidP="00A70FA3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Civic Centre</w:t>
      </w:r>
    </w:p>
    <w:p w:rsidR="00A70FA3" w:rsidRPr="00D44F9B" w:rsidRDefault="00A70FA3" w:rsidP="00A70FA3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High Street</w:t>
      </w:r>
    </w:p>
    <w:p w:rsidR="00A70FA3" w:rsidRPr="00D44F9B" w:rsidRDefault="00A70FA3" w:rsidP="00A70FA3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Uxbridge</w:t>
      </w:r>
      <w:r>
        <w:rPr>
          <w:rFonts w:ascii="Arial" w:hAnsi="Arial" w:cs="Arial"/>
          <w:b/>
        </w:rPr>
        <w:t xml:space="preserve">, </w:t>
      </w:r>
      <w:r w:rsidRPr="00D44F9B">
        <w:rPr>
          <w:rFonts w:ascii="Arial" w:hAnsi="Arial" w:cs="Arial"/>
          <w:b/>
        </w:rPr>
        <w:t>UB8 1UW</w:t>
      </w:r>
    </w:p>
    <w:p w:rsidR="00A70FA3" w:rsidRDefault="00A70FA3" w:rsidP="00A70FA3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A70FA3" w:rsidRDefault="008F4EA7" w:rsidP="00A70FA3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hyperlink r:id="rId5" w:history="1">
        <w:r w:rsidR="00A70FA3" w:rsidRPr="007469CD">
          <w:rPr>
            <w:rStyle w:val="Hyperlink"/>
            <w:rFonts w:ascii="Arial" w:hAnsi="Arial" w:cs="Arial"/>
            <w:sz w:val="24"/>
            <w:szCs w:val="24"/>
          </w:rPr>
          <w:t>licensing@hillingdon.gov.uk</w:t>
        </w:r>
      </w:hyperlink>
    </w:p>
    <w:p w:rsidR="00A70FA3" w:rsidRDefault="00A70FA3" w:rsidP="00A70FA3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A70FA3" w:rsidRDefault="00A70FA3" w:rsidP="00A70FA3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 - 01895 277433</w:t>
      </w:r>
    </w:p>
    <w:p w:rsidR="00A70FA3" w:rsidRPr="007F402B" w:rsidRDefault="008F4EA7" w:rsidP="00A70FA3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hyperlink r:id="rId6" w:history="1">
        <w:r w:rsidR="00A70FA3" w:rsidRPr="007469CD">
          <w:rPr>
            <w:rStyle w:val="Hyperlink"/>
            <w:rFonts w:ascii="Arial" w:hAnsi="Arial" w:cs="Arial"/>
            <w:sz w:val="24"/>
            <w:szCs w:val="24"/>
          </w:rPr>
          <w:t>www.hillingdon.gov.uk/licensing</w:t>
        </w:r>
      </w:hyperlink>
    </w:p>
    <w:p w:rsidR="005A744E" w:rsidRDefault="005A744E"/>
    <w:sectPr w:rsidR="005A744E" w:rsidSect="008E290B">
      <w:pgSz w:w="11906" w:h="16838"/>
      <w:pgMar w:top="709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04B5"/>
    <w:multiLevelType w:val="hybridMultilevel"/>
    <w:tmpl w:val="9A449F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75D1F"/>
    <w:multiLevelType w:val="hybridMultilevel"/>
    <w:tmpl w:val="110A15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characterSpacingControl w:val="doNotCompress"/>
  <w:compat/>
  <w:rsids>
    <w:rsidRoot w:val="00A70FA3"/>
    <w:rsid w:val="00446F20"/>
    <w:rsid w:val="005A744E"/>
    <w:rsid w:val="008E290B"/>
    <w:rsid w:val="008F4EA7"/>
    <w:rsid w:val="00A70FA3"/>
    <w:rsid w:val="00E2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F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0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F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llingdon.gov.uk/licensing" TargetMode="External"/><Relationship Id="rId5" Type="http://schemas.openxmlformats.org/officeDocument/2006/relationships/hyperlink" Target="mailto:licensing@hillingd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Hillingdon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mmcdermott</dc:creator>
  <cp:lastModifiedBy>mmcdermott</cp:lastModifiedBy>
  <cp:revision>2</cp:revision>
  <dcterms:created xsi:type="dcterms:W3CDTF">2020-06-08T08:37:00Z</dcterms:created>
  <dcterms:modified xsi:type="dcterms:W3CDTF">2020-06-08T09:06:00Z</dcterms:modified>
</cp:coreProperties>
</file>